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5C1" w:rsidRDefault="000D45C1"/>
    <w:p w:rsidR="00EE6120" w:rsidRDefault="00EE6120"/>
    <w:p w:rsidR="00EE6120" w:rsidRPr="00EE6120" w:rsidRDefault="00EE6120" w:rsidP="00EE6120">
      <w:pPr>
        <w:shd w:val="clear" w:color="auto" w:fill="FFFFFF"/>
        <w:spacing w:after="0" w:line="312" w:lineRule="atLeast"/>
        <w:outlineLvl w:val="0"/>
        <w:rPr>
          <w:rFonts w:ascii="Verdana" w:eastAsia="Times New Roman" w:hAnsi="Verdana" w:cs="Times New Roman"/>
          <w:b/>
          <w:bCs/>
          <w:color w:val="000000"/>
          <w:kern w:val="36"/>
          <w:sz w:val="30"/>
          <w:szCs w:val="30"/>
        </w:rPr>
      </w:pPr>
      <w:r w:rsidRPr="00EE6120">
        <w:rPr>
          <w:rFonts w:ascii="Verdana" w:eastAsia="Times New Roman" w:hAnsi="Verdana" w:cs="Times New Roman"/>
          <w:b/>
          <w:bCs/>
          <w:color w:val="000000"/>
          <w:kern w:val="36"/>
          <w:sz w:val="30"/>
          <w:szCs w:val="30"/>
        </w:rPr>
        <w:t xml:space="preserve">David Stockman Warns "Dread The Fed!" - </w:t>
      </w:r>
      <w:bookmarkStart w:id="0" w:name="_GoBack"/>
      <w:r w:rsidRPr="00EE6120">
        <w:rPr>
          <w:rFonts w:ascii="Verdana" w:eastAsia="Times New Roman" w:hAnsi="Verdana" w:cs="Times New Roman"/>
          <w:b/>
          <w:bCs/>
          <w:color w:val="000000"/>
          <w:kern w:val="36"/>
          <w:sz w:val="30"/>
          <w:szCs w:val="30"/>
          <w:highlight w:val="yellow"/>
        </w:rPr>
        <w:t xml:space="preserve">Sell </w:t>
      </w:r>
      <w:proofErr w:type="gramStart"/>
      <w:r w:rsidRPr="00EE6120">
        <w:rPr>
          <w:rFonts w:ascii="Verdana" w:eastAsia="Times New Roman" w:hAnsi="Verdana" w:cs="Times New Roman"/>
          <w:b/>
          <w:bCs/>
          <w:color w:val="000000"/>
          <w:kern w:val="36"/>
          <w:sz w:val="30"/>
          <w:szCs w:val="30"/>
          <w:highlight w:val="yellow"/>
        </w:rPr>
        <w:t>The</w:t>
      </w:r>
      <w:proofErr w:type="gramEnd"/>
      <w:r w:rsidRPr="00EE6120">
        <w:rPr>
          <w:rFonts w:ascii="Verdana" w:eastAsia="Times New Roman" w:hAnsi="Verdana" w:cs="Times New Roman"/>
          <w:b/>
          <w:bCs/>
          <w:color w:val="000000"/>
          <w:kern w:val="36"/>
          <w:sz w:val="30"/>
          <w:szCs w:val="30"/>
          <w:highlight w:val="yellow"/>
        </w:rPr>
        <w:t xml:space="preserve"> Bonds, Sell The Stocks, Sell The House</w:t>
      </w:r>
      <w:bookmarkEnd w:id="0"/>
    </w:p>
    <w:p w:rsidR="00EE6120" w:rsidRPr="00EE6120" w:rsidRDefault="00EE6120" w:rsidP="00EE6120">
      <w:pPr>
        <w:shd w:val="clear" w:color="auto" w:fill="FFFFFF"/>
        <w:spacing w:after="0" w:line="260" w:lineRule="atLeast"/>
        <w:rPr>
          <w:rFonts w:ascii="Verdana" w:eastAsia="Times New Roman" w:hAnsi="Verdana" w:cs="Times New Roman"/>
          <w:color w:val="000000"/>
          <w:sz w:val="20"/>
          <w:szCs w:val="20"/>
        </w:rPr>
      </w:pPr>
      <w:r w:rsidRPr="00EE6120">
        <w:rPr>
          <w:rFonts w:ascii="Verdana" w:eastAsia="Times New Roman" w:hAnsi="Verdana" w:cs="Times New Roman"/>
          <w:noProof/>
          <w:color w:val="666666"/>
          <w:sz w:val="20"/>
          <w:szCs w:val="20"/>
        </w:rPr>
        <w:drawing>
          <wp:inline distT="0" distB="0" distL="0" distR="0">
            <wp:extent cx="378460" cy="378460"/>
            <wp:effectExtent l="0" t="0" r="2540" b="2540"/>
            <wp:docPr id="10" name="Picture 10" descr="Tyler Durden's picture">
              <a:hlinkClick xmlns:a="http://schemas.openxmlformats.org/drawingml/2006/main" r:id="rId5" tooltip="&quot;View user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ler Durden's picture">
                      <a:hlinkClick r:id="rId5" tooltip="&quot;View user profil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460" cy="378460"/>
                    </a:xfrm>
                    <a:prstGeom prst="rect">
                      <a:avLst/>
                    </a:prstGeom>
                    <a:noFill/>
                    <a:ln>
                      <a:noFill/>
                    </a:ln>
                  </pic:spPr>
                </pic:pic>
              </a:graphicData>
            </a:graphic>
          </wp:inline>
        </w:drawing>
      </w:r>
    </w:p>
    <w:p w:rsidR="00EE6120" w:rsidRPr="00EE6120" w:rsidRDefault="00EE6120" w:rsidP="00EE6120">
      <w:pPr>
        <w:shd w:val="clear" w:color="auto" w:fill="FFFFFF"/>
        <w:spacing w:before="225" w:after="240" w:line="260" w:lineRule="atLeast"/>
        <w:rPr>
          <w:rFonts w:ascii="Times New Roman" w:eastAsia="Times New Roman" w:hAnsi="Times New Roman" w:cs="Times New Roman"/>
          <w:sz w:val="16"/>
          <w:szCs w:val="16"/>
        </w:rPr>
      </w:pPr>
      <w:r w:rsidRPr="00EE6120">
        <w:rPr>
          <w:rFonts w:ascii="Verdana" w:eastAsia="Times New Roman" w:hAnsi="Verdana" w:cs="Times New Roman"/>
          <w:color w:val="000000"/>
          <w:sz w:val="16"/>
          <w:szCs w:val="16"/>
        </w:rPr>
        <w:t>Submitted by </w:t>
      </w:r>
      <w:hyperlink r:id="rId7" w:history="1">
        <w:r w:rsidRPr="00EE6120">
          <w:rPr>
            <w:rFonts w:ascii="Verdana" w:eastAsia="Times New Roman" w:hAnsi="Verdana" w:cs="Times New Roman"/>
            <w:color w:val="666666"/>
            <w:sz w:val="16"/>
            <w:szCs w:val="16"/>
          </w:rPr>
          <w:t>Tyler Durden</w:t>
        </w:r>
      </w:hyperlink>
      <w:r w:rsidRPr="00EE6120">
        <w:rPr>
          <w:rFonts w:ascii="Verdana" w:eastAsia="Times New Roman" w:hAnsi="Verdana" w:cs="Times New Roman"/>
          <w:color w:val="000000"/>
          <w:sz w:val="16"/>
          <w:szCs w:val="16"/>
        </w:rPr>
        <w:t> on 12/18/2015 11:50 -0500</w:t>
      </w:r>
    </w:p>
    <w:p w:rsidR="00EE6120" w:rsidRPr="00EE6120" w:rsidRDefault="00EE6120" w:rsidP="00EE6120">
      <w:pPr>
        <w:numPr>
          <w:ilvl w:val="0"/>
          <w:numId w:val="1"/>
        </w:numPr>
        <w:shd w:val="clear" w:color="auto" w:fill="FFFFFF"/>
        <w:spacing w:before="100" w:beforeAutospacing="1" w:after="100" w:afterAutospacing="1" w:line="260" w:lineRule="atLeast"/>
        <w:ind w:left="0"/>
        <w:rPr>
          <w:rFonts w:ascii="Times New Roman" w:eastAsia="Times New Roman" w:hAnsi="Times New Roman" w:cs="Times New Roman"/>
          <w:sz w:val="14"/>
          <w:szCs w:val="14"/>
        </w:rPr>
      </w:pPr>
      <w:hyperlink r:id="rId8" w:tooltip="" w:history="1">
        <w:r w:rsidRPr="00EE6120">
          <w:rPr>
            <w:rFonts w:ascii="Verdana" w:eastAsia="Times New Roman" w:hAnsi="Verdana" w:cs="Times New Roman"/>
            <w:b/>
            <w:bCs/>
            <w:color w:val="666666"/>
            <w:sz w:val="14"/>
            <w:szCs w:val="14"/>
          </w:rPr>
          <w:t>Alan Greenspan</w:t>
        </w:r>
      </w:hyperlink>
    </w:p>
    <w:p w:rsidR="00EE6120" w:rsidRPr="00EE6120" w:rsidRDefault="00EE6120" w:rsidP="00EE6120">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9" w:tooltip="" w:history="1">
        <w:r w:rsidRPr="00EE6120">
          <w:rPr>
            <w:rFonts w:ascii="Verdana" w:eastAsia="Times New Roman" w:hAnsi="Verdana" w:cs="Times New Roman"/>
            <w:b/>
            <w:bCs/>
            <w:color w:val="666666"/>
            <w:sz w:val="14"/>
            <w:szCs w:val="14"/>
          </w:rPr>
          <w:t>Apple</w:t>
        </w:r>
      </w:hyperlink>
    </w:p>
    <w:p w:rsidR="00EE6120" w:rsidRPr="00EE6120" w:rsidRDefault="00EE6120" w:rsidP="00EE6120">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0" w:tooltip="Ben Bernanke" w:history="1">
        <w:r w:rsidRPr="00EE6120">
          <w:rPr>
            <w:rFonts w:ascii="Verdana" w:eastAsia="Times New Roman" w:hAnsi="Verdana" w:cs="Times New Roman"/>
            <w:b/>
            <w:bCs/>
            <w:color w:val="666666"/>
            <w:sz w:val="14"/>
            <w:szCs w:val="14"/>
          </w:rPr>
          <w:t>Ben Bernanke</w:t>
        </w:r>
      </w:hyperlink>
    </w:p>
    <w:p w:rsidR="00EE6120" w:rsidRPr="00EE6120" w:rsidRDefault="00EE6120" w:rsidP="00EE6120">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1" w:tooltip="" w:history="1">
        <w:r w:rsidRPr="00EE6120">
          <w:rPr>
            <w:rFonts w:ascii="Verdana" w:eastAsia="Times New Roman" w:hAnsi="Verdana" w:cs="Times New Roman"/>
            <w:b/>
            <w:bCs/>
            <w:color w:val="666666"/>
            <w:sz w:val="14"/>
            <w:szCs w:val="14"/>
          </w:rPr>
          <w:t>Ben Bernanke</w:t>
        </w:r>
      </w:hyperlink>
    </w:p>
    <w:p w:rsidR="00EE6120" w:rsidRPr="00EE6120" w:rsidRDefault="00EE6120" w:rsidP="00EE6120">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2" w:tooltip="" w:history="1">
        <w:r w:rsidRPr="00EE6120">
          <w:rPr>
            <w:rFonts w:ascii="Verdana" w:eastAsia="Times New Roman" w:hAnsi="Verdana" w:cs="Times New Roman"/>
            <w:b/>
            <w:bCs/>
            <w:color w:val="666666"/>
            <w:sz w:val="14"/>
            <w:szCs w:val="14"/>
          </w:rPr>
          <w:t>BLS</w:t>
        </w:r>
      </w:hyperlink>
    </w:p>
    <w:p w:rsidR="00EE6120" w:rsidRPr="00EE6120" w:rsidRDefault="00EE6120" w:rsidP="00EE6120">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3" w:tooltip="" w:history="1">
        <w:r w:rsidRPr="00EE6120">
          <w:rPr>
            <w:rFonts w:ascii="Verdana" w:eastAsia="Times New Roman" w:hAnsi="Verdana" w:cs="Times New Roman"/>
            <w:b/>
            <w:bCs/>
            <w:color w:val="666666"/>
            <w:sz w:val="14"/>
            <w:szCs w:val="14"/>
          </w:rPr>
          <w:t>Bond</w:t>
        </w:r>
      </w:hyperlink>
    </w:p>
    <w:p w:rsidR="00EE6120" w:rsidRPr="00EE6120" w:rsidRDefault="00EE6120" w:rsidP="00EE6120">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4" w:tooltip="" w:history="1">
        <w:r w:rsidRPr="00EE6120">
          <w:rPr>
            <w:rFonts w:ascii="Verdana" w:eastAsia="Times New Roman" w:hAnsi="Verdana" w:cs="Times New Roman"/>
            <w:b/>
            <w:bCs/>
            <w:color w:val="666666"/>
            <w:sz w:val="14"/>
            <w:szCs w:val="14"/>
          </w:rPr>
          <w:t>Central Banks</w:t>
        </w:r>
      </w:hyperlink>
    </w:p>
    <w:p w:rsidR="00EE6120" w:rsidRPr="00EE6120" w:rsidRDefault="00EE6120" w:rsidP="00EE6120">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5" w:tooltip="" w:history="1">
        <w:r w:rsidRPr="00EE6120">
          <w:rPr>
            <w:rFonts w:ascii="Verdana" w:eastAsia="Times New Roman" w:hAnsi="Verdana" w:cs="Times New Roman"/>
            <w:b/>
            <w:bCs/>
            <w:color w:val="666666"/>
            <w:sz w:val="14"/>
            <w:szCs w:val="14"/>
          </w:rPr>
          <w:t>Cleveland Fed</w:t>
        </w:r>
      </w:hyperlink>
    </w:p>
    <w:p w:rsidR="00EE6120" w:rsidRPr="00EE6120" w:rsidRDefault="00EE6120" w:rsidP="00EE6120">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6" w:tooltip="" w:history="1">
        <w:r w:rsidRPr="00EE6120">
          <w:rPr>
            <w:rFonts w:ascii="Verdana" w:eastAsia="Times New Roman" w:hAnsi="Verdana" w:cs="Times New Roman"/>
            <w:b/>
            <w:bCs/>
            <w:color w:val="666666"/>
            <w:sz w:val="14"/>
            <w:szCs w:val="14"/>
          </w:rPr>
          <w:t>Copper</w:t>
        </w:r>
      </w:hyperlink>
    </w:p>
    <w:p w:rsidR="00EE6120" w:rsidRPr="00EE6120" w:rsidRDefault="00EE6120" w:rsidP="00EE6120">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7" w:tooltip="" w:history="1">
        <w:r w:rsidRPr="00EE6120">
          <w:rPr>
            <w:rFonts w:ascii="Verdana" w:eastAsia="Times New Roman" w:hAnsi="Verdana" w:cs="Times New Roman"/>
            <w:b/>
            <w:bCs/>
            <w:color w:val="666666"/>
            <w:sz w:val="14"/>
            <w:szCs w:val="14"/>
          </w:rPr>
          <w:t>CPI</w:t>
        </w:r>
      </w:hyperlink>
    </w:p>
    <w:p w:rsidR="00EE6120" w:rsidRPr="00EE6120" w:rsidRDefault="00EE6120" w:rsidP="00EE6120">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8" w:tooltip="" w:history="1">
        <w:r w:rsidRPr="00EE6120">
          <w:rPr>
            <w:rFonts w:ascii="Verdana" w:eastAsia="Times New Roman" w:hAnsi="Verdana" w:cs="Times New Roman"/>
            <w:b/>
            <w:bCs/>
            <w:color w:val="666666"/>
            <w:sz w:val="14"/>
            <w:szCs w:val="14"/>
          </w:rPr>
          <w:t>Crude</w:t>
        </w:r>
      </w:hyperlink>
    </w:p>
    <w:p w:rsidR="00EE6120" w:rsidRPr="00EE6120" w:rsidRDefault="00EE6120" w:rsidP="00EE6120">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9" w:tooltip="" w:history="1">
        <w:r w:rsidRPr="00EE6120">
          <w:rPr>
            <w:rFonts w:ascii="Verdana" w:eastAsia="Times New Roman" w:hAnsi="Verdana" w:cs="Times New Roman"/>
            <w:b/>
            <w:bCs/>
            <w:color w:val="666666"/>
            <w:sz w:val="14"/>
            <w:szCs w:val="14"/>
          </w:rPr>
          <w:t>Crude Oil</w:t>
        </w:r>
      </w:hyperlink>
    </w:p>
    <w:p w:rsidR="00EE6120" w:rsidRPr="00EE6120" w:rsidRDefault="00EE6120" w:rsidP="00EE6120">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0" w:tooltip="" w:history="1">
        <w:r w:rsidRPr="00EE6120">
          <w:rPr>
            <w:rFonts w:ascii="Verdana" w:eastAsia="Times New Roman" w:hAnsi="Verdana" w:cs="Times New Roman"/>
            <w:b/>
            <w:bCs/>
            <w:color w:val="666666"/>
            <w:sz w:val="14"/>
            <w:szCs w:val="14"/>
          </w:rPr>
          <w:t>ETC</w:t>
        </w:r>
      </w:hyperlink>
    </w:p>
    <w:p w:rsidR="00EE6120" w:rsidRPr="00EE6120" w:rsidRDefault="00EE6120" w:rsidP="00EE6120">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1" w:tooltip="" w:history="1">
        <w:r w:rsidRPr="00EE6120">
          <w:rPr>
            <w:rFonts w:ascii="Verdana" w:eastAsia="Times New Roman" w:hAnsi="Verdana" w:cs="Times New Roman"/>
            <w:b/>
            <w:bCs/>
            <w:color w:val="666666"/>
            <w:sz w:val="14"/>
            <w:szCs w:val="14"/>
          </w:rPr>
          <w:t>fixed</w:t>
        </w:r>
      </w:hyperlink>
    </w:p>
    <w:p w:rsidR="00EE6120" w:rsidRPr="00EE6120" w:rsidRDefault="00EE6120" w:rsidP="00EE6120">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2" w:tooltip="" w:history="1">
        <w:r w:rsidRPr="00EE6120">
          <w:rPr>
            <w:rFonts w:ascii="Verdana" w:eastAsia="Times New Roman" w:hAnsi="Verdana" w:cs="Times New Roman"/>
            <w:b/>
            <w:bCs/>
            <w:color w:val="666666"/>
            <w:sz w:val="14"/>
            <w:szCs w:val="14"/>
          </w:rPr>
          <w:t>Global Economy</w:t>
        </w:r>
      </w:hyperlink>
    </w:p>
    <w:p w:rsidR="00EE6120" w:rsidRPr="00EE6120" w:rsidRDefault="00EE6120" w:rsidP="00EE6120">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3" w:tooltip="" w:history="1">
        <w:r w:rsidRPr="00EE6120">
          <w:rPr>
            <w:rFonts w:ascii="Verdana" w:eastAsia="Times New Roman" w:hAnsi="Verdana" w:cs="Times New Roman"/>
            <w:b/>
            <w:bCs/>
            <w:color w:val="666666"/>
            <w:sz w:val="14"/>
            <w:szCs w:val="14"/>
          </w:rPr>
          <w:t>High Yield</w:t>
        </w:r>
      </w:hyperlink>
    </w:p>
    <w:p w:rsidR="00EE6120" w:rsidRPr="00EE6120" w:rsidRDefault="00EE6120" w:rsidP="00EE6120">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4" w:tooltip="" w:history="1">
        <w:r w:rsidRPr="00EE6120">
          <w:rPr>
            <w:rFonts w:ascii="Verdana" w:eastAsia="Times New Roman" w:hAnsi="Verdana" w:cs="Times New Roman"/>
            <w:b/>
            <w:bCs/>
            <w:color w:val="666666"/>
            <w:sz w:val="14"/>
            <w:szCs w:val="14"/>
          </w:rPr>
          <w:t>Janet Yellen</w:t>
        </w:r>
      </w:hyperlink>
    </w:p>
    <w:p w:rsidR="00EE6120" w:rsidRPr="00EE6120" w:rsidRDefault="00EE6120" w:rsidP="00EE6120">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5" w:tooltip="" w:history="1">
        <w:r w:rsidRPr="00EE6120">
          <w:rPr>
            <w:rFonts w:ascii="Verdana" w:eastAsia="Times New Roman" w:hAnsi="Verdana" w:cs="Times New Roman"/>
            <w:b/>
            <w:bCs/>
            <w:color w:val="666666"/>
            <w:sz w:val="14"/>
            <w:szCs w:val="14"/>
          </w:rPr>
          <w:t>Kohn</w:t>
        </w:r>
      </w:hyperlink>
    </w:p>
    <w:p w:rsidR="00EE6120" w:rsidRPr="00EE6120" w:rsidRDefault="00EE6120" w:rsidP="00EE6120">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6" w:tooltip="" w:history="1">
        <w:r w:rsidRPr="00EE6120">
          <w:rPr>
            <w:rFonts w:ascii="Verdana" w:eastAsia="Times New Roman" w:hAnsi="Verdana" w:cs="Times New Roman"/>
            <w:b/>
            <w:bCs/>
            <w:color w:val="666666"/>
            <w:sz w:val="14"/>
            <w:szCs w:val="14"/>
          </w:rPr>
          <w:t>LBO</w:t>
        </w:r>
      </w:hyperlink>
    </w:p>
    <w:p w:rsidR="00EE6120" w:rsidRPr="00EE6120" w:rsidRDefault="00EE6120" w:rsidP="00EE6120">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7" w:tooltip="" w:history="1">
        <w:r w:rsidRPr="00EE6120">
          <w:rPr>
            <w:rFonts w:ascii="Verdana" w:eastAsia="Times New Roman" w:hAnsi="Verdana" w:cs="Times New Roman"/>
            <w:b/>
            <w:bCs/>
            <w:color w:val="666666"/>
            <w:sz w:val="14"/>
            <w:szCs w:val="14"/>
          </w:rPr>
          <w:t>Monetary Policy</w:t>
        </w:r>
      </w:hyperlink>
    </w:p>
    <w:p w:rsidR="00EE6120" w:rsidRPr="00EE6120" w:rsidRDefault="00EE6120" w:rsidP="00EE6120">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8" w:tooltip="" w:history="1">
        <w:r w:rsidRPr="00EE6120">
          <w:rPr>
            <w:rFonts w:ascii="Verdana" w:eastAsia="Times New Roman" w:hAnsi="Verdana" w:cs="Times New Roman"/>
            <w:b/>
            <w:bCs/>
            <w:color w:val="666666"/>
            <w:sz w:val="14"/>
            <w:szCs w:val="14"/>
          </w:rPr>
          <w:t>None</w:t>
        </w:r>
      </w:hyperlink>
    </w:p>
    <w:p w:rsidR="00EE6120" w:rsidRPr="00EE6120" w:rsidRDefault="00EE6120" w:rsidP="00EE6120">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9" w:tooltip="" w:history="1">
        <w:r w:rsidRPr="00EE6120">
          <w:rPr>
            <w:rFonts w:ascii="Verdana" w:eastAsia="Times New Roman" w:hAnsi="Verdana" w:cs="Times New Roman"/>
            <w:b/>
            <w:bCs/>
            <w:color w:val="666666"/>
            <w:sz w:val="14"/>
            <w:szCs w:val="14"/>
          </w:rPr>
          <w:t>Obamacare</w:t>
        </w:r>
      </w:hyperlink>
    </w:p>
    <w:p w:rsidR="00EE6120" w:rsidRPr="00EE6120" w:rsidRDefault="00EE6120" w:rsidP="00EE6120">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30" w:tooltip="" w:history="1">
        <w:r w:rsidRPr="00EE6120">
          <w:rPr>
            <w:rFonts w:ascii="Verdana" w:eastAsia="Times New Roman" w:hAnsi="Verdana" w:cs="Times New Roman"/>
            <w:b/>
            <w:bCs/>
            <w:color w:val="666666"/>
            <w:sz w:val="14"/>
            <w:szCs w:val="14"/>
          </w:rPr>
          <w:t>Paul Samuelson</w:t>
        </w:r>
      </w:hyperlink>
    </w:p>
    <w:p w:rsidR="00EE6120" w:rsidRPr="00EE6120" w:rsidRDefault="00EE6120" w:rsidP="00EE6120">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31" w:tooltip="" w:history="1">
        <w:r w:rsidRPr="00EE6120">
          <w:rPr>
            <w:rFonts w:ascii="Verdana" w:eastAsia="Times New Roman" w:hAnsi="Verdana" w:cs="Times New Roman"/>
            <w:b/>
            <w:bCs/>
            <w:color w:val="666666"/>
            <w:sz w:val="14"/>
            <w:szCs w:val="14"/>
          </w:rPr>
          <w:t>Reality</w:t>
        </w:r>
      </w:hyperlink>
    </w:p>
    <w:p w:rsidR="00EE6120" w:rsidRPr="00EE6120" w:rsidRDefault="00EE6120" w:rsidP="00EE6120">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32" w:tooltip="" w:history="1">
        <w:r w:rsidRPr="00EE6120">
          <w:rPr>
            <w:rFonts w:ascii="Verdana" w:eastAsia="Times New Roman" w:hAnsi="Verdana" w:cs="Times New Roman"/>
            <w:b/>
            <w:bCs/>
            <w:color w:val="666666"/>
            <w:sz w:val="14"/>
            <w:szCs w:val="14"/>
          </w:rPr>
          <w:t>recovery</w:t>
        </w:r>
      </w:hyperlink>
    </w:p>
    <w:p w:rsidR="00EE6120" w:rsidRPr="00EE6120" w:rsidRDefault="00EE6120" w:rsidP="00EE6120">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33" w:tooltip="" w:history="1">
        <w:r w:rsidRPr="00EE6120">
          <w:rPr>
            <w:rFonts w:ascii="Verdana" w:eastAsia="Times New Roman" w:hAnsi="Verdana" w:cs="Times New Roman"/>
            <w:b/>
            <w:bCs/>
            <w:color w:val="666666"/>
            <w:sz w:val="14"/>
            <w:szCs w:val="14"/>
          </w:rPr>
          <w:t>Student Loans</w:t>
        </w:r>
      </w:hyperlink>
    </w:p>
    <w:p w:rsidR="00EE6120" w:rsidRPr="00EE6120" w:rsidRDefault="00EE6120" w:rsidP="00EE6120">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34" w:tooltip="" w:history="1">
        <w:r w:rsidRPr="00EE6120">
          <w:rPr>
            <w:rFonts w:ascii="Verdana" w:eastAsia="Times New Roman" w:hAnsi="Verdana" w:cs="Times New Roman"/>
            <w:b/>
            <w:bCs/>
            <w:color w:val="666666"/>
            <w:sz w:val="14"/>
            <w:szCs w:val="14"/>
          </w:rPr>
          <w:t>Unemployment</w:t>
        </w:r>
      </w:hyperlink>
    </w:p>
    <w:p w:rsidR="00EE6120" w:rsidRPr="00EE6120" w:rsidRDefault="00EE6120" w:rsidP="00EE6120">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35" w:tooltip="" w:history="1">
        <w:r w:rsidRPr="00EE6120">
          <w:rPr>
            <w:rFonts w:ascii="Verdana" w:eastAsia="Times New Roman" w:hAnsi="Verdana" w:cs="Times New Roman"/>
            <w:b/>
            <w:bCs/>
            <w:color w:val="666666"/>
            <w:sz w:val="14"/>
            <w:szCs w:val="14"/>
          </w:rPr>
          <w:t>Yield Curve</w:t>
        </w:r>
      </w:hyperlink>
    </w:p>
    <w:p w:rsidR="00EE6120" w:rsidRPr="00EE6120" w:rsidRDefault="00EE6120" w:rsidP="00EE6120">
      <w:pPr>
        <w:shd w:val="clear" w:color="auto" w:fill="FFFFFF"/>
        <w:spacing w:after="240" w:line="260" w:lineRule="atLeast"/>
        <w:rPr>
          <w:rFonts w:ascii="Verdana" w:eastAsia="Times New Roman" w:hAnsi="Verdana" w:cs="Times New Roman"/>
          <w:color w:val="000000"/>
          <w:sz w:val="20"/>
          <w:szCs w:val="20"/>
        </w:rPr>
      </w:pPr>
    </w:p>
    <w:p w:rsidR="00EE6120" w:rsidRPr="00EE6120" w:rsidRDefault="00EE6120" w:rsidP="00EE6120">
      <w:pPr>
        <w:shd w:val="clear" w:color="auto" w:fill="FFFFFF"/>
        <w:spacing w:after="0" w:line="260" w:lineRule="atLeast"/>
        <w:rPr>
          <w:rFonts w:ascii="Verdana" w:eastAsia="Times New Roman" w:hAnsi="Verdana" w:cs="Times New Roman"/>
          <w:color w:val="000000"/>
          <w:sz w:val="20"/>
          <w:szCs w:val="20"/>
        </w:rPr>
      </w:pPr>
      <w:hyperlink r:id="rId36" w:history="1">
        <w:proofErr w:type="gramStart"/>
        <w:r w:rsidRPr="00EE6120">
          <w:rPr>
            <w:rFonts w:ascii="Verdana" w:eastAsia="Times New Roman" w:hAnsi="Verdana" w:cs="Times New Roman"/>
            <w:color w:val="666666"/>
            <w:sz w:val="20"/>
            <w:szCs w:val="20"/>
            <w:u w:val="single"/>
          </w:rPr>
          <w:t>inShare</w:t>
        </w:r>
        <w:proofErr w:type="gramEnd"/>
      </w:hyperlink>
      <w:r w:rsidRPr="00EE6120">
        <w:rPr>
          <w:rFonts w:ascii="Verdana" w:eastAsia="Times New Roman" w:hAnsi="Verdana" w:cs="Times New Roman"/>
          <w:color w:val="000000"/>
          <w:sz w:val="20"/>
          <w:szCs w:val="20"/>
        </w:rPr>
        <w:t>13</w:t>
      </w:r>
    </w:p>
    <w:p w:rsidR="00EE6120" w:rsidRPr="00EE6120" w:rsidRDefault="00EE6120" w:rsidP="00EE6120">
      <w:pPr>
        <w:shd w:val="clear" w:color="auto" w:fill="FFFFFF"/>
        <w:spacing w:after="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 </w:t>
      </w:r>
    </w:p>
    <w:p w:rsidR="00EE6120" w:rsidRPr="00EE6120" w:rsidRDefault="00EE6120" w:rsidP="00EE6120">
      <w:pPr>
        <w:shd w:val="clear" w:color="auto" w:fill="FFFFFF"/>
        <w:spacing w:after="180" w:line="260" w:lineRule="atLeast"/>
        <w:rPr>
          <w:rFonts w:ascii="Verdana" w:eastAsia="Times New Roman" w:hAnsi="Verdana" w:cs="Times New Roman"/>
          <w:color w:val="000000"/>
          <w:sz w:val="20"/>
          <w:szCs w:val="20"/>
        </w:rPr>
      </w:pPr>
      <w:hyperlink r:id="rId37" w:history="1">
        <w:r w:rsidRPr="00EE6120">
          <w:rPr>
            <w:rFonts w:ascii="Verdana" w:eastAsia="Times New Roman" w:hAnsi="Verdana" w:cs="Times New Roman"/>
            <w:i/>
            <w:iCs/>
            <w:color w:val="666666"/>
            <w:sz w:val="20"/>
            <w:szCs w:val="20"/>
          </w:rPr>
          <w:t>Submitted by David Stockman via Contra Corner blog,</w:t>
        </w:r>
      </w:hyperlink>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b/>
          <w:bCs/>
          <w:color w:val="000000"/>
          <w:sz w:val="20"/>
          <w:szCs w:val="20"/>
          <w:u w:val="single"/>
        </w:rPr>
        <w:t>There is going to be carnage in the casino, and the proof lies in the transcript of Janet Yellen’s press conference</w:t>
      </w:r>
      <w:r w:rsidRPr="00EE6120">
        <w:rPr>
          <w:rFonts w:ascii="Verdana" w:eastAsia="Times New Roman" w:hAnsi="Verdana" w:cs="Times New Roman"/>
          <w:color w:val="000000"/>
          <w:sz w:val="20"/>
          <w:szCs w:val="20"/>
        </w:rPr>
        <w:t xml:space="preserve">. </w:t>
      </w:r>
      <w:r w:rsidRPr="00EE6120">
        <w:rPr>
          <w:rFonts w:ascii="Verdana" w:eastAsia="Times New Roman" w:hAnsi="Verdana" w:cs="Times New Roman"/>
          <w:color w:val="000000"/>
          <w:sz w:val="20"/>
          <w:szCs w:val="20"/>
          <w:highlight w:val="yellow"/>
        </w:rPr>
        <w:t>She did not say one word about the real world; it was all about the hypothetical world embedded in the Fed’s tinker toy model of the US economy</w:t>
      </w:r>
      <w:r w:rsidRPr="00EE6120">
        <w:rPr>
          <w:rFonts w:ascii="Verdana" w:eastAsia="Times New Roman" w:hAnsi="Verdana" w:cs="Times New Roman"/>
          <w:color w:val="000000"/>
          <w:sz w:val="20"/>
          <w:szCs w:val="20"/>
        </w:rPr>
        <w:t>.</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lastRenderedPageBreak/>
        <w:t>Yes, tinker toys are what kids used to play with back in the 1950s and 1960s, and that’s when Janet acquired her school-girl model of the nation’s economy.</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 xml:space="preserve">But since </w:t>
      </w:r>
      <w:r w:rsidRPr="00EE6120">
        <w:rPr>
          <w:rFonts w:ascii="Verdana" w:eastAsia="Times New Roman" w:hAnsi="Verdana" w:cs="Times New Roman"/>
          <w:color w:val="000000"/>
          <w:sz w:val="20"/>
          <w:szCs w:val="20"/>
          <w:highlight w:val="yellow"/>
        </w:rPr>
        <w:t>that model is so frightfully primitive, mechanical, incomplete, stylized and obsolete</w:t>
      </w:r>
      <w:r w:rsidRPr="00EE6120">
        <w:rPr>
          <w:rFonts w:ascii="Verdana" w:eastAsia="Times New Roman" w:hAnsi="Verdana" w:cs="Times New Roman"/>
          <w:color w:val="000000"/>
          <w:sz w:val="20"/>
          <w:szCs w:val="20"/>
        </w:rPr>
        <w:t>, it tells almost nothing of relevance about where the markets and economy now stand; or what forces are driving them; or where they are headed in the period just ahead.</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In fact, Yellen’s tinker toy model is so deficient as to confirm that she and her posse are essentially flying blind. That alone should give investors pause—-especially because Yellen confessed explicitly that “monetary policy is an exercise in forecasting”.</w:t>
      </w:r>
    </w:p>
    <w:p w:rsidR="00EE6120" w:rsidRPr="00EE6120" w:rsidRDefault="00EE6120" w:rsidP="00D92D9D">
      <w:pPr>
        <w:shd w:val="clear" w:color="auto" w:fill="FFFFFF"/>
        <w:spacing w:line="234" w:lineRule="atLeast"/>
        <w:rPr>
          <w:rFonts w:ascii="Arial" w:eastAsia="Times New Roman" w:hAnsi="Arial" w:cs="Arial"/>
          <w:color w:val="222222"/>
          <w:sz w:val="24"/>
          <w:szCs w:val="24"/>
        </w:rPr>
      </w:pPr>
      <w:r w:rsidRPr="00EE6120">
        <w:rPr>
          <w:rFonts w:ascii="Verdana" w:eastAsia="Times New Roman" w:hAnsi="Verdana" w:cs="Times New Roman"/>
          <w:color w:val="000000"/>
          <w:sz w:val="20"/>
          <w:szCs w:val="20"/>
        </w:rPr>
        <w:t>Accordingly, her answers were riddled with ritualistic reminders about all the dashboards, incoming data and economic system telemetry that the Fed is vigilantly monitoring. </w:t>
      </w:r>
      <w:r w:rsidRPr="00EE6120">
        <w:rPr>
          <w:rFonts w:ascii="Verdana" w:eastAsia="Times New Roman" w:hAnsi="Verdana" w:cs="Times New Roman"/>
          <w:b/>
          <w:bCs/>
          <w:i/>
          <w:iCs/>
          <w:color w:val="000000"/>
          <w:sz w:val="20"/>
          <w:szCs w:val="20"/>
        </w:rPr>
        <w:t>But all that minding of everybody else’s business is not a virtue—-its proof that Yellen is the ultimate Keynesian catechumen</w:t>
      </w:r>
      <w:r w:rsidRPr="00D92D9D">
        <w:rPr>
          <w:rFonts w:ascii="Verdana" w:eastAsia="Times New Roman" w:hAnsi="Verdana" w:cs="Times New Roman"/>
          <w:b/>
          <w:bCs/>
          <w:i/>
          <w:iCs/>
          <w:color w:val="FF00FF"/>
          <w:sz w:val="20"/>
          <w:szCs w:val="20"/>
        </w:rPr>
        <w:t>.</w:t>
      </w:r>
      <w:r w:rsidR="00D92D9D" w:rsidRPr="00D92D9D">
        <w:rPr>
          <w:rFonts w:ascii="Verdana" w:eastAsia="Times New Roman" w:hAnsi="Verdana" w:cs="Times New Roman"/>
          <w:b/>
          <w:bCs/>
          <w:i/>
          <w:iCs/>
          <w:color w:val="FF00FF"/>
          <w:sz w:val="20"/>
          <w:szCs w:val="20"/>
        </w:rPr>
        <w:t xml:space="preserve"> [1 </w:t>
      </w:r>
      <w:r w:rsidR="00D92D9D" w:rsidRPr="00D92D9D">
        <w:rPr>
          <w:rFonts w:ascii="Arial" w:eastAsia="Times New Roman" w:hAnsi="Arial" w:cs="Arial"/>
          <w:color w:val="FF00FF"/>
          <w:sz w:val="24"/>
          <w:szCs w:val="24"/>
        </w:rPr>
        <w:t>a Christian convert under instruction before baptism. 2 a young Christian preparing for confirmation.]</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 xml:space="preserve">This stupendously naïve old school </w:t>
      </w:r>
      <w:proofErr w:type="spellStart"/>
      <w:r w:rsidRPr="00EE6120">
        <w:rPr>
          <w:rFonts w:ascii="Verdana" w:eastAsia="Times New Roman" w:hAnsi="Verdana" w:cs="Times New Roman"/>
          <w:color w:val="000000"/>
          <w:sz w:val="20"/>
          <w:szCs w:val="20"/>
        </w:rPr>
        <w:t>marm</w:t>
      </w:r>
      <w:proofErr w:type="spellEnd"/>
      <w:r w:rsidRPr="00EE6120">
        <w:rPr>
          <w:rFonts w:ascii="Verdana" w:eastAsia="Times New Roman" w:hAnsi="Verdana" w:cs="Times New Roman"/>
          <w:color w:val="000000"/>
          <w:sz w:val="20"/>
          <w:szCs w:val="20"/>
        </w:rPr>
        <w:t xml:space="preserve"> still believes the received Keynesian scriptures as penned by the 1960s-era apostles </w:t>
      </w:r>
      <w:proofErr w:type="gramStart"/>
      <w:r w:rsidRPr="00EE6120">
        <w:rPr>
          <w:rFonts w:ascii="Verdana" w:eastAsia="Times New Roman" w:hAnsi="Verdana" w:cs="Times New Roman"/>
          <w:b/>
          <w:bCs/>
          <w:i/>
          <w:iCs/>
          <w:color w:val="000000"/>
          <w:sz w:val="20"/>
          <w:szCs w:val="20"/>
        </w:rPr>
        <w:t>James</w:t>
      </w:r>
      <w:r w:rsidRPr="00EE6120">
        <w:rPr>
          <w:rFonts w:ascii="Verdana" w:eastAsia="Times New Roman" w:hAnsi="Verdana" w:cs="Times New Roman"/>
          <w:color w:val="000000"/>
          <w:sz w:val="20"/>
          <w:szCs w:val="20"/>
        </w:rPr>
        <w:t>(</w:t>
      </w:r>
      <w:proofErr w:type="gramEnd"/>
      <w:r w:rsidRPr="00EE6120">
        <w:rPr>
          <w:rFonts w:ascii="Verdana" w:eastAsia="Times New Roman" w:hAnsi="Verdana" w:cs="Times New Roman"/>
          <w:color w:val="000000"/>
          <w:sz w:val="20"/>
          <w:szCs w:val="20"/>
        </w:rPr>
        <w:t>Tobin), </w:t>
      </w:r>
      <w:r w:rsidRPr="00EE6120">
        <w:rPr>
          <w:rFonts w:ascii="Verdana" w:eastAsia="Times New Roman" w:hAnsi="Verdana" w:cs="Times New Roman"/>
          <w:b/>
          <w:bCs/>
          <w:i/>
          <w:iCs/>
          <w:color w:val="000000"/>
          <w:sz w:val="20"/>
          <w:szCs w:val="20"/>
        </w:rPr>
        <w:t>John</w:t>
      </w:r>
      <w:r w:rsidRPr="00EE6120">
        <w:rPr>
          <w:rFonts w:ascii="Verdana" w:eastAsia="Times New Roman" w:hAnsi="Verdana" w:cs="Times New Roman"/>
          <w:color w:val="000000"/>
          <w:sz w:val="20"/>
          <w:szCs w:val="20"/>
        </w:rPr>
        <w:t> (Galbraith), </w:t>
      </w:r>
      <w:r w:rsidRPr="00EE6120">
        <w:rPr>
          <w:rFonts w:ascii="Verdana" w:eastAsia="Times New Roman" w:hAnsi="Verdana" w:cs="Times New Roman"/>
          <w:b/>
          <w:bCs/>
          <w:i/>
          <w:iCs/>
          <w:color w:val="000000"/>
          <w:sz w:val="20"/>
          <w:szCs w:val="20"/>
        </w:rPr>
        <w:t>Paul</w:t>
      </w:r>
      <w:r w:rsidRPr="00EE6120">
        <w:rPr>
          <w:rFonts w:ascii="Verdana" w:eastAsia="Times New Roman" w:hAnsi="Verdana" w:cs="Times New Roman"/>
          <w:color w:val="000000"/>
          <w:sz w:val="20"/>
          <w:szCs w:val="20"/>
        </w:rPr>
        <w:t> (Samuelson) and </w:t>
      </w:r>
      <w:r w:rsidRPr="00EE6120">
        <w:rPr>
          <w:rFonts w:ascii="Verdana" w:eastAsia="Times New Roman" w:hAnsi="Verdana" w:cs="Times New Roman"/>
          <w:b/>
          <w:bCs/>
          <w:i/>
          <w:iCs/>
          <w:color w:val="000000"/>
          <w:sz w:val="20"/>
          <w:szCs w:val="20"/>
        </w:rPr>
        <w:t>Walter</w:t>
      </w:r>
      <w:r w:rsidRPr="00EE6120">
        <w:rPr>
          <w:rFonts w:ascii="Verdana" w:eastAsia="Times New Roman" w:hAnsi="Verdana" w:cs="Times New Roman"/>
          <w:color w:val="000000"/>
          <w:sz w:val="20"/>
          <w:szCs w:val="20"/>
        </w:rPr>
        <w:t> (Heller).</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 xml:space="preserve">But </w:t>
      </w:r>
      <w:proofErr w:type="spellStart"/>
      <w:r w:rsidRPr="00EE6120">
        <w:rPr>
          <w:rFonts w:ascii="Verdana" w:eastAsia="Times New Roman" w:hAnsi="Verdana" w:cs="Times New Roman"/>
          <w:color w:val="000000"/>
          <w:sz w:val="20"/>
          <w:szCs w:val="20"/>
        </w:rPr>
        <w:t>c’mon.Those</w:t>
      </w:r>
      <w:proofErr w:type="spellEnd"/>
      <w:r w:rsidRPr="00EE6120">
        <w:rPr>
          <w:rFonts w:ascii="Verdana" w:eastAsia="Times New Roman" w:hAnsi="Verdana" w:cs="Times New Roman"/>
          <w:color w:val="000000"/>
          <w:sz w:val="20"/>
          <w:szCs w:val="20"/>
        </w:rPr>
        <w:t xml:space="preserve"> ancient texts have no relevance to the debt-saturated, state-dominated, hideously over-capacitated global economy of 2015. They just convey a stupid little paint-by-the-numbers simulacrum of what a purportedly closed domestic economy looked like even back then.</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That is, before Richard Nixon had finally destroyed Bretton Woods and turned over the Fed’s printing presses to power aggrandizing PhDs; and before Mr. Deng had thrown out Mao’s little red book in favor of a central bank based credit Ponzi.</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As you listened to Yellen babble on about the purported cyclical “slack” remaining in the US economy, the current unusually low “natural rate” of federal funds, all the numerous and sundry “transient” factors affecting the outlook, and the Fed’s </w:t>
      </w:r>
      <w:proofErr w:type="spellStart"/>
      <w:r w:rsidRPr="00EE6120">
        <w:rPr>
          <w:rFonts w:ascii="Verdana" w:eastAsia="Times New Roman" w:hAnsi="Verdana" w:cs="Times New Roman"/>
          <w:color w:val="000000"/>
          <w:sz w:val="20"/>
          <w:szCs w:val="20"/>
        </w:rPr>
        <w:t>fetishly</w:t>
      </w:r>
      <w:proofErr w:type="spellEnd"/>
      <w:r w:rsidRPr="00EE6120">
        <w:rPr>
          <w:rFonts w:ascii="Verdana" w:eastAsia="Times New Roman" w:hAnsi="Verdana" w:cs="Times New Roman"/>
          <w:color w:val="000000"/>
          <w:sz w:val="20"/>
          <w:szCs w:val="20"/>
        </w:rPr>
        <w:t xml:space="preserve"> literal quest for 2.00% inflation (yes, these fools apparently think </w:t>
      </w:r>
      <w:proofErr w:type="spellStart"/>
      <w:r w:rsidRPr="00EE6120">
        <w:rPr>
          <w:rFonts w:ascii="Verdana" w:eastAsia="Times New Roman" w:hAnsi="Verdana" w:cs="Times New Roman"/>
          <w:color w:val="000000"/>
          <w:sz w:val="20"/>
          <w:szCs w:val="20"/>
        </w:rPr>
        <w:t>the</w:t>
      </w:r>
      <w:proofErr w:type="spellEnd"/>
      <w:r w:rsidRPr="00EE6120">
        <w:rPr>
          <w:rFonts w:ascii="Verdana" w:eastAsia="Times New Roman" w:hAnsi="Verdana" w:cs="Times New Roman"/>
          <w:color w:val="000000"/>
          <w:sz w:val="20"/>
          <w:szCs w:val="20"/>
        </w:rPr>
        <w:t xml:space="preserve"> can </w:t>
      </w:r>
      <w:r w:rsidRPr="00EE6120">
        <w:rPr>
          <w:rFonts w:ascii="Verdana" w:eastAsia="Times New Roman" w:hAnsi="Verdana" w:cs="Times New Roman"/>
          <w:color w:val="000000"/>
          <w:sz w:val="20"/>
          <w:szCs w:val="20"/>
          <w:highlight w:val="yellow"/>
        </w:rPr>
        <w:t>hit their inflation target to the second decimal place</w:t>
      </w:r>
      <w:r w:rsidRPr="00EE6120">
        <w:rPr>
          <w:rFonts w:ascii="Verdana" w:eastAsia="Times New Roman" w:hAnsi="Verdana" w:cs="Times New Roman"/>
          <w:color w:val="000000"/>
          <w:sz w:val="20"/>
          <w:szCs w:val="20"/>
        </w:rPr>
        <w:t>), only one conclusion was possible.</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b/>
          <w:bCs/>
          <w:i/>
          <w:iCs/>
          <w:color w:val="000000"/>
          <w:sz w:val="20"/>
          <w:szCs w:val="20"/>
        </w:rPr>
        <w:t xml:space="preserve">To wit, </w:t>
      </w:r>
      <w:r w:rsidRPr="00D92D9D">
        <w:rPr>
          <w:rFonts w:ascii="Verdana" w:eastAsia="Times New Roman" w:hAnsi="Verdana" w:cs="Times New Roman"/>
          <w:b/>
          <w:bCs/>
          <w:i/>
          <w:iCs/>
          <w:color w:val="FF0000"/>
          <w:sz w:val="20"/>
          <w:szCs w:val="20"/>
        </w:rPr>
        <w:t xml:space="preserve">sell the bonds, sell the stocks, sell the house, </w:t>
      </w:r>
      <w:proofErr w:type="gramStart"/>
      <w:r w:rsidRPr="00D92D9D">
        <w:rPr>
          <w:rFonts w:ascii="Verdana" w:eastAsia="Times New Roman" w:hAnsi="Verdana" w:cs="Times New Roman"/>
          <w:b/>
          <w:bCs/>
          <w:i/>
          <w:iCs/>
          <w:color w:val="FF0000"/>
          <w:sz w:val="20"/>
          <w:szCs w:val="20"/>
        </w:rPr>
        <w:t>dread</w:t>
      </w:r>
      <w:proofErr w:type="gramEnd"/>
      <w:r w:rsidRPr="00D92D9D">
        <w:rPr>
          <w:rFonts w:ascii="Verdana" w:eastAsia="Times New Roman" w:hAnsi="Verdana" w:cs="Times New Roman"/>
          <w:b/>
          <w:bCs/>
          <w:i/>
          <w:iCs/>
          <w:color w:val="FF0000"/>
          <w:sz w:val="20"/>
          <w:szCs w:val="20"/>
        </w:rPr>
        <w:t xml:space="preserve"> the Fed!</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In a global economy that is plunging into an epic deflationary contraction, Yellen &amp; Co still embrace mythical and unmeasurable benchmarks for domestic full employment and other idealized performance targets.</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 xml:space="preserve">Indeed, they operate in what amounts to the pseudo-scientific realm of economic policy numerology. Their model can be reduced to </w:t>
      </w:r>
      <w:r w:rsidRPr="00EE6120">
        <w:rPr>
          <w:rFonts w:ascii="Verdana" w:eastAsia="Times New Roman" w:hAnsi="Verdana" w:cs="Times New Roman"/>
          <w:color w:val="000000"/>
          <w:sz w:val="20"/>
          <w:szCs w:val="20"/>
          <w:highlight w:val="yellow"/>
        </w:rPr>
        <w:t>a voodoo style formula expressed as “2</w:t>
      </w:r>
      <w:proofErr w:type="gramStart"/>
      <w:r w:rsidRPr="00EE6120">
        <w:rPr>
          <w:rFonts w:ascii="Verdana" w:eastAsia="Times New Roman" w:hAnsi="Verdana" w:cs="Times New Roman"/>
          <w:color w:val="000000"/>
          <w:sz w:val="20"/>
          <w:szCs w:val="20"/>
          <w:highlight w:val="yellow"/>
        </w:rPr>
        <w:t>,3,4,5</w:t>
      </w:r>
      <w:proofErr w:type="gramEnd"/>
      <w:r w:rsidRPr="00EE6120">
        <w:rPr>
          <w:rFonts w:ascii="Verdana" w:eastAsia="Times New Roman" w:hAnsi="Verdana" w:cs="Times New Roman"/>
          <w:color w:val="000000"/>
          <w:sz w:val="20"/>
          <w:szCs w:val="20"/>
          <w:highlight w:val="yellow"/>
        </w:rPr>
        <w:t>”.</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 xml:space="preserve">That would be </w:t>
      </w:r>
      <w:r w:rsidRPr="00EE6120">
        <w:rPr>
          <w:rFonts w:ascii="Verdana" w:eastAsia="Times New Roman" w:hAnsi="Verdana" w:cs="Times New Roman"/>
          <w:color w:val="000000"/>
          <w:sz w:val="20"/>
          <w:szCs w:val="20"/>
          <w:highlight w:val="yellow"/>
        </w:rPr>
        <w:t>2% inflation, 3% real growth, 4% normalized Federal funds and 5% unemployment</w:t>
      </w:r>
      <w:r w:rsidRPr="00EE6120">
        <w:rPr>
          <w:rFonts w:ascii="Verdana" w:eastAsia="Times New Roman" w:hAnsi="Verdana" w:cs="Times New Roman"/>
          <w:color w:val="000000"/>
          <w:sz w:val="20"/>
          <w:szCs w:val="20"/>
        </w:rPr>
        <w:t>. Any difference between those targets and current readings is defined as “slack” or performance shortfall that the 12 apostles on the FOMC have been mandated to close; and to do so with the blunt force instruments of money market rate pegging, yield curve repression (that’s what QE is) and wealth effects levitation of financial asset prices.</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b/>
          <w:bCs/>
          <w:color w:val="000000"/>
          <w:sz w:val="20"/>
          <w:szCs w:val="20"/>
        </w:rPr>
        <w:lastRenderedPageBreak/>
        <w:t xml:space="preserve">At the end of the day, the only thing worse than </w:t>
      </w:r>
      <w:r w:rsidRPr="00D92D9D">
        <w:rPr>
          <w:rFonts w:ascii="Verdana" w:eastAsia="Times New Roman" w:hAnsi="Verdana" w:cs="Times New Roman"/>
          <w:b/>
          <w:bCs/>
          <w:color w:val="000000"/>
          <w:sz w:val="20"/>
          <w:szCs w:val="20"/>
          <w:highlight w:val="yellow"/>
        </w:rPr>
        <w:t>Nixon’s final destruction of sound money at Camp David in August 1971 was the passage of the Humphrey-Hawkins Act seven years later.</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 xml:space="preserve">To be sure, the act itself was merely an exercise in political messaging. It did not confer open-ended power on a monetary politburo to literally hijack the price-setting process in the entire financial system. Instead, it was a rubbery sense of congress resolution that encompassed unquantified and purely </w:t>
      </w:r>
      <w:r w:rsidRPr="00EE6120">
        <w:rPr>
          <w:rFonts w:ascii="Verdana" w:eastAsia="Times New Roman" w:hAnsi="Verdana" w:cs="Times New Roman"/>
          <w:color w:val="000000"/>
          <w:sz w:val="20"/>
          <w:szCs w:val="20"/>
          <w:highlight w:val="yellow"/>
        </w:rPr>
        <w:t>aspirational goals</w:t>
      </w:r>
      <w:r w:rsidRPr="00EE6120">
        <w:rPr>
          <w:rFonts w:ascii="Verdana" w:eastAsia="Times New Roman" w:hAnsi="Verdana" w:cs="Times New Roman"/>
          <w:color w:val="000000"/>
          <w:sz w:val="20"/>
          <w:szCs w:val="20"/>
        </w:rPr>
        <w:t xml:space="preserve"> for maximum employment and price stability.</w:t>
      </w:r>
    </w:p>
    <w:p w:rsid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 xml:space="preserve">It was the power-hungry academics and policy apparatchiks like </w:t>
      </w:r>
      <w:r w:rsidRPr="00EE6120">
        <w:rPr>
          <w:rFonts w:ascii="Verdana" w:eastAsia="Times New Roman" w:hAnsi="Verdana" w:cs="Times New Roman"/>
          <w:color w:val="000000"/>
          <w:sz w:val="20"/>
          <w:szCs w:val="20"/>
          <w:highlight w:val="yellow"/>
        </w:rPr>
        <w:t>Alan Greenspan, Alan Blinder, Donald Kohn, Ben Bernanke,</w:t>
      </w:r>
      <w:proofErr w:type="gramStart"/>
      <w:r w:rsidRPr="00EE6120">
        <w:rPr>
          <w:rFonts w:ascii="Verdana" w:eastAsia="Times New Roman" w:hAnsi="Verdana" w:cs="Times New Roman"/>
          <w:color w:val="000000"/>
          <w:sz w:val="20"/>
          <w:szCs w:val="20"/>
          <w:highlight w:val="yellow"/>
        </w:rPr>
        <w:t>  Frederic</w:t>
      </w:r>
      <w:proofErr w:type="gramEnd"/>
      <w:r w:rsidRPr="00EE6120">
        <w:rPr>
          <w:rFonts w:ascii="Verdana" w:eastAsia="Times New Roman" w:hAnsi="Verdana" w:cs="Times New Roman"/>
          <w:color w:val="000000"/>
          <w:sz w:val="20"/>
          <w:szCs w:val="20"/>
          <w:highlight w:val="yellow"/>
        </w:rPr>
        <w:t xml:space="preserve"> </w:t>
      </w:r>
      <w:proofErr w:type="spellStart"/>
      <w:r w:rsidRPr="00EE6120">
        <w:rPr>
          <w:rFonts w:ascii="Verdana" w:eastAsia="Times New Roman" w:hAnsi="Verdana" w:cs="Times New Roman"/>
          <w:color w:val="000000"/>
          <w:sz w:val="20"/>
          <w:szCs w:val="20"/>
          <w:highlight w:val="yellow"/>
        </w:rPr>
        <w:t>Mishkin</w:t>
      </w:r>
      <w:proofErr w:type="spellEnd"/>
      <w:r w:rsidRPr="00EE6120">
        <w:rPr>
          <w:rFonts w:ascii="Verdana" w:eastAsia="Times New Roman" w:hAnsi="Verdana" w:cs="Times New Roman"/>
          <w:color w:val="000000"/>
          <w:sz w:val="20"/>
          <w:szCs w:val="20"/>
          <w:highlight w:val="yellow"/>
        </w:rPr>
        <w:t>, Janet Yellen and the B-Dud</w:t>
      </w:r>
      <w:r w:rsidRPr="00EE6120">
        <w:rPr>
          <w:rFonts w:ascii="Verdana" w:eastAsia="Times New Roman" w:hAnsi="Verdana" w:cs="Times New Roman"/>
          <w:color w:val="000000"/>
          <w:sz w:val="20"/>
          <w:szCs w:val="20"/>
        </w:rPr>
        <w:t xml:space="preserve"> who turned it into today’s monetary central planning machine.</w:t>
      </w:r>
    </w:p>
    <w:p w:rsidR="008577AE" w:rsidRPr="008577AE" w:rsidRDefault="008577AE" w:rsidP="008577AE">
      <w:pPr>
        <w:shd w:val="clear" w:color="auto" w:fill="FFFFFF"/>
        <w:spacing w:before="60" w:after="180" w:line="260" w:lineRule="atLeast"/>
        <w:rPr>
          <w:rFonts w:ascii="Verdana" w:eastAsia="Times New Roman" w:hAnsi="Verdana" w:cs="Times New Roman"/>
          <w:color w:val="FF00FF"/>
          <w:sz w:val="20"/>
          <w:szCs w:val="20"/>
        </w:rPr>
      </w:pPr>
      <w:r w:rsidRPr="008577AE">
        <w:rPr>
          <w:rFonts w:ascii="Verdana" w:eastAsia="Times New Roman" w:hAnsi="Verdana" w:cs="Times New Roman"/>
          <w:color w:val="FF00FF"/>
          <w:sz w:val="20"/>
          <w:szCs w:val="20"/>
        </w:rPr>
        <w:t xml:space="preserve">[Stockman:  </w:t>
      </w:r>
      <w:r w:rsidRPr="008577AE">
        <w:rPr>
          <w:rFonts w:ascii="Verdana" w:eastAsia="Times New Roman" w:hAnsi="Verdana" w:cs="Times New Roman"/>
          <w:color w:val="FF00FF"/>
          <w:sz w:val="20"/>
          <w:szCs w:val="20"/>
        </w:rPr>
        <w:t>"But the arrival seven years ago of William Dudley straight from the top economics job at Goldman Sachs took the matter to a whole new level."</w:t>
      </w:r>
    </w:p>
    <w:p w:rsidR="008577AE" w:rsidRPr="00EE6120" w:rsidRDefault="008577AE" w:rsidP="008577AE">
      <w:pPr>
        <w:shd w:val="clear" w:color="auto" w:fill="FFFFFF"/>
        <w:spacing w:before="60" w:after="180" w:line="260" w:lineRule="atLeast"/>
        <w:rPr>
          <w:rFonts w:ascii="Verdana" w:eastAsia="Times New Roman" w:hAnsi="Verdana" w:cs="Times New Roman"/>
          <w:color w:val="FF00FF"/>
          <w:sz w:val="20"/>
          <w:szCs w:val="20"/>
        </w:rPr>
      </w:pPr>
      <w:r w:rsidRPr="008577AE">
        <w:rPr>
          <w:rFonts w:ascii="Verdana" w:eastAsia="Times New Roman" w:hAnsi="Verdana" w:cs="Times New Roman"/>
          <w:color w:val="FF00FF"/>
          <w:sz w:val="20"/>
          <w:szCs w:val="20"/>
        </w:rPr>
        <w:t xml:space="preserve">" </w:t>
      </w:r>
      <w:proofErr w:type="gramStart"/>
      <w:r w:rsidRPr="008577AE">
        <w:rPr>
          <w:rFonts w:ascii="Verdana" w:eastAsia="Times New Roman" w:hAnsi="Verdana" w:cs="Times New Roman"/>
          <w:color w:val="FF00FF"/>
          <w:sz w:val="20"/>
          <w:szCs w:val="20"/>
        </w:rPr>
        <w:t>the</w:t>
      </w:r>
      <w:proofErr w:type="gramEnd"/>
      <w:r w:rsidRPr="008577AE">
        <w:rPr>
          <w:rFonts w:ascii="Verdana" w:eastAsia="Times New Roman" w:hAnsi="Verdana" w:cs="Times New Roman"/>
          <w:color w:val="FF00FF"/>
          <w:sz w:val="20"/>
          <w:szCs w:val="20"/>
        </w:rPr>
        <w:t xml:space="preserve"> Wall Street contingent at the Fed led by Dudley."</w:t>
      </w:r>
      <w:r w:rsidRPr="008577AE">
        <w:rPr>
          <w:rFonts w:ascii="Verdana" w:eastAsia="Times New Roman" w:hAnsi="Verdana" w:cs="Times New Roman"/>
          <w:color w:val="FF00FF"/>
          <w:sz w:val="20"/>
          <w:szCs w:val="20"/>
        </w:rPr>
        <w:t>]</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 xml:space="preserve">The hard core reality, however, is that the very foundations of the Keynesian full employment model cannot be measured, specified, validated or achieved. </w:t>
      </w:r>
      <w:r w:rsidRPr="00EE6120">
        <w:rPr>
          <w:rFonts w:ascii="Verdana" w:eastAsia="Times New Roman" w:hAnsi="Verdana" w:cs="Times New Roman"/>
          <w:color w:val="000000"/>
          <w:sz w:val="20"/>
          <w:szCs w:val="20"/>
          <w:highlight w:val="yellow"/>
        </w:rPr>
        <w:t>For all practical purposes there is no such thing in today’s world as potential GDP, full-employment, a natural rate of Federal funds, NARU (natural rate of unemployment) or quantifiable price stability.</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highlight w:val="yellow"/>
        </w:rPr>
        <w:t>These are all self-serving fictions</w:t>
      </w:r>
      <w:r w:rsidRPr="00EE6120">
        <w:rPr>
          <w:rFonts w:ascii="Verdana" w:eastAsia="Times New Roman" w:hAnsi="Verdana" w:cs="Times New Roman"/>
          <w:color w:val="000000"/>
          <w:sz w:val="20"/>
          <w:szCs w:val="20"/>
        </w:rPr>
        <w:t xml:space="preserve"> fabricated by a small community of monetary central planners and their Wall Street henchmen. And </w:t>
      </w:r>
      <w:r w:rsidRPr="00EE6120">
        <w:rPr>
          <w:rFonts w:ascii="Verdana" w:eastAsia="Times New Roman" w:hAnsi="Verdana" w:cs="Times New Roman"/>
          <w:color w:val="000000"/>
          <w:sz w:val="20"/>
          <w:szCs w:val="20"/>
          <w:highlight w:val="yellow"/>
        </w:rPr>
        <w:t>they do one big but destructive thing:</w:t>
      </w:r>
      <w:r w:rsidRPr="00EE6120">
        <w:rPr>
          <w:rFonts w:ascii="Verdana" w:eastAsia="Times New Roman" w:hAnsi="Verdana" w:cs="Times New Roman"/>
          <w:color w:val="000000"/>
          <w:sz w:val="20"/>
          <w:szCs w:val="20"/>
        </w:rPr>
        <w:t xml:space="preserve"> Namely, they are used to justify endless manipulation and falsification of the single most important set of prices in all of capitalism—-</w:t>
      </w:r>
      <w:r w:rsidRPr="00EE6120">
        <w:rPr>
          <w:rFonts w:ascii="Verdana" w:eastAsia="Times New Roman" w:hAnsi="Verdana" w:cs="Times New Roman"/>
          <w:color w:val="000000"/>
          <w:sz w:val="20"/>
          <w:szCs w:val="20"/>
          <w:highlight w:val="yellow"/>
        </w:rPr>
        <w:t>the price of money</w:t>
      </w:r>
      <w:r w:rsidRPr="00EE6120">
        <w:rPr>
          <w:rFonts w:ascii="Verdana" w:eastAsia="Times New Roman" w:hAnsi="Verdana" w:cs="Times New Roman"/>
          <w:color w:val="000000"/>
          <w:sz w:val="20"/>
          <w:szCs w:val="20"/>
        </w:rPr>
        <w:t xml:space="preserve"> and financial assets.</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b/>
          <w:bCs/>
          <w:color w:val="000000"/>
          <w:sz w:val="20"/>
          <w:szCs w:val="20"/>
        </w:rPr>
        <w:t>Consider Yellen’s absolutely foolish discussion of the 2% inflation target, the transient factors currently impacting it and the Fed’s insistence on symmetry between under-shooting and over-shooting the target.</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 xml:space="preserve">In the first place, by one good measure of consumer inflation—-the 16% Trimmed Mean CPI—–the Fed has been hitting its target all along. To hit the magic 2.00%, the monthly change needs to be in the 0.16% range; and, as shown below, </w:t>
      </w:r>
      <w:proofErr w:type="spellStart"/>
      <w:proofErr w:type="gramStart"/>
      <w:r w:rsidRPr="00EE6120">
        <w:rPr>
          <w:rFonts w:ascii="Verdana" w:eastAsia="Times New Roman" w:hAnsi="Verdana" w:cs="Times New Roman"/>
          <w:color w:val="000000"/>
          <w:sz w:val="20"/>
          <w:szCs w:val="20"/>
        </w:rPr>
        <w:t>its</w:t>
      </w:r>
      <w:proofErr w:type="spellEnd"/>
      <w:proofErr w:type="gramEnd"/>
      <w:r w:rsidRPr="00EE6120">
        <w:rPr>
          <w:rFonts w:ascii="Verdana" w:eastAsia="Times New Roman" w:hAnsi="Verdana" w:cs="Times New Roman"/>
          <w:color w:val="000000"/>
          <w:sz w:val="20"/>
          <w:szCs w:val="20"/>
        </w:rPr>
        <w:t xml:space="preserve"> pretty hard to see that they have missed by much, or that there is any kind of worsening trend during the last five years of so-called recovery.</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noProof/>
          <w:color w:val="000000"/>
          <w:sz w:val="20"/>
          <w:szCs w:val="20"/>
        </w:rPr>
        <w:lastRenderedPageBreak/>
        <w:drawing>
          <wp:inline distT="0" distB="0" distL="0" distR="0">
            <wp:extent cx="5383476" cy="2411343"/>
            <wp:effectExtent l="0" t="0" r="8255" b="8255"/>
            <wp:docPr id="9" name="Picture 9" descr="http://myf.red/g/2Wx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yf.red/g/2Wxr/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2113" cy="2419691"/>
                    </a:xfrm>
                    <a:prstGeom prst="rect">
                      <a:avLst/>
                    </a:prstGeom>
                    <a:noFill/>
                    <a:ln>
                      <a:noFill/>
                    </a:ln>
                  </pic:spPr>
                </pic:pic>
              </a:graphicData>
            </a:graphic>
          </wp:inline>
        </w:drawing>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 xml:space="preserve">But then, of course, </w:t>
      </w:r>
      <w:r w:rsidRPr="00EE6120">
        <w:rPr>
          <w:rFonts w:ascii="Verdana" w:eastAsia="Times New Roman" w:hAnsi="Verdana" w:cs="Times New Roman"/>
          <w:color w:val="000000"/>
          <w:sz w:val="20"/>
          <w:szCs w:val="20"/>
          <w:highlight w:val="yellow"/>
        </w:rPr>
        <w:t>Yellen actually swatted away a questioner’s observation that the Fed was already at its 2% target</w:t>
      </w:r>
      <w:r w:rsidRPr="00EE6120">
        <w:rPr>
          <w:rFonts w:ascii="Verdana" w:eastAsia="Times New Roman" w:hAnsi="Verdana" w:cs="Times New Roman"/>
          <w:color w:val="000000"/>
          <w:sz w:val="20"/>
          <w:szCs w:val="20"/>
        </w:rPr>
        <w:t xml:space="preserve"> based on a similar median CPI published by the Cleveland Fed.</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b/>
          <w:bCs/>
          <w:color w:val="000000"/>
          <w:sz w:val="20"/>
          <w:szCs w:val="20"/>
        </w:rPr>
        <w:t xml:space="preserve">Why, no, our intrepid school </w:t>
      </w:r>
      <w:proofErr w:type="spellStart"/>
      <w:r w:rsidRPr="00EE6120">
        <w:rPr>
          <w:rFonts w:ascii="Verdana" w:eastAsia="Times New Roman" w:hAnsi="Verdana" w:cs="Times New Roman"/>
          <w:b/>
          <w:bCs/>
          <w:color w:val="000000"/>
          <w:sz w:val="20"/>
          <w:szCs w:val="20"/>
        </w:rPr>
        <w:t>marm</w:t>
      </w:r>
      <w:proofErr w:type="spellEnd"/>
      <w:r w:rsidRPr="00EE6120">
        <w:rPr>
          <w:rFonts w:ascii="Verdana" w:eastAsia="Times New Roman" w:hAnsi="Verdana" w:cs="Times New Roman"/>
          <w:b/>
          <w:bCs/>
          <w:color w:val="000000"/>
          <w:sz w:val="20"/>
          <w:szCs w:val="20"/>
        </w:rPr>
        <w:t xml:space="preserve"> replied - here in the Eccles Building we hold strictly to high church liturgy. Nothing less than the PCE deflator will do when it comes to the sacrosanct inflation target.</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I’m sorry but that’s obscurantist malarkey of the first order. Over any reasonable period of time there is not a dimes worth of difference between the government’s various measures of consumer inflation on goods and services. And that’s ignoring the fact that all of them under measure it, anyway.</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As shown below, the 16-year CAGR since October 2000 was </w:t>
      </w:r>
      <w:r w:rsidRPr="00EE6120">
        <w:rPr>
          <w:rFonts w:ascii="Verdana" w:eastAsia="Times New Roman" w:hAnsi="Verdana" w:cs="Times New Roman"/>
          <w:b/>
          <w:bCs/>
          <w:i/>
          <w:iCs/>
          <w:color w:val="000000"/>
          <w:sz w:val="20"/>
          <w:szCs w:val="20"/>
        </w:rPr>
        <w:t>1.82%</w:t>
      </w:r>
      <w:r w:rsidRPr="00EE6120">
        <w:rPr>
          <w:rFonts w:ascii="Verdana" w:eastAsia="Times New Roman" w:hAnsi="Verdana" w:cs="Times New Roman"/>
          <w:i/>
          <w:iCs/>
          <w:color w:val="000000"/>
          <w:sz w:val="20"/>
          <w:szCs w:val="20"/>
        </w:rPr>
        <w:t> </w:t>
      </w:r>
      <w:r w:rsidRPr="00EE6120">
        <w:rPr>
          <w:rFonts w:ascii="Verdana" w:eastAsia="Times New Roman" w:hAnsi="Verdana" w:cs="Times New Roman"/>
          <w:color w:val="000000"/>
          <w:sz w:val="20"/>
          <w:szCs w:val="20"/>
        </w:rPr>
        <w:t>for the Yellen’s PCE deflator, </w:t>
      </w:r>
      <w:r w:rsidRPr="00EE6120">
        <w:rPr>
          <w:rFonts w:ascii="Verdana" w:eastAsia="Times New Roman" w:hAnsi="Verdana" w:cs="Times New Roman"/>
          <w:b/>
          <w:bCs/>
          <w:i/>
          <w:iCs/>
          <w:color w:val="000000"/>
          <w:sz w:val="20"/>
          <w:szCs w:val="20"/>
        </w:rPr>
        <w:t>1.92%</w:t>
      </w:r>
      <w:r w:rsidRPr="00EE6120">
        <w:rPr>
          <w:rFonts w:ascii="Verdana" w:eastAsia="Times New Roman" w:hAnsi="Verdana" w:cs="Times New Roman"/>
          <w:color w:val="000000"/>
          <w:sz w:val="20"/>
          <w:szCs w:val="20"/>
        </w:rPr>
        <w:t> for the CPI less food and energy and </w:t>
      </w:r>
      <w:r w:rsidRPr="00EE6120">
        <w:rPr>
          <w:rFonts w:ascii="Verdana" w:eastAsia="Times New Roman" w:hAnsi="Verdana" w:cs="Times New Roman"/>
          <w:b/>
          <w:bCs/>
          <w:i/>
          <w:iCs/>
          <w:color w:val="000000"/>
          <w:sz w:val="20"/>
          <w:szCs w:val="20"/>
        </w:rPr>
        <w:t>2.12%</w:t>
      </w:r>
      <w:r w:rsidRPr="00EE6120">
        <w:rPr>
          <w:rFonts w:ascii="Verdana" w:eastAsia="Times New Roman" w:hAnsi="Verdana" w:cs="Times New Roman"/>
          <w:color w:val="000000"/>
          <w:sz w:val="20"/>
          <w:szCs w:val="20"/>
        </w:rPr>
        <w:t> for the regular consumer price index for all urban consumers. Only in the Fed’s tinker toy model of the world could those fractional decimal points of difference actually make any difference.</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noProof/>
          <w:color w:val="000000"/>
          <w:sz w:val="20"/>
          <w:szCs w:val="20"/>
        </w:rPr>
        <w:lastRenderedPageBreak/>
        <w:drawing>
          <wp:inline distT="0" distB="0" distL="0" distR="0">
            <wp:extent cx="5127165" cy="3404762"/>
            <wp:effectExtent l="0" t="0" r="0" b="5715"/>
            <wp:docPr id="8" name="Picture 8" descr="http://myf.red/g/2W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yf.red/g/2WA4/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134391" cy="3409561"/>
                    </a:xfrm>
                    <a:prstGeom prst="rect">
                      <a:avLst/>
                    </a:prstGeom>
                    <a:noFill/>
                    <a:ln>
                      <a:noFill/>
                    </a:ln>
                  </pic:spPr>
                </pic:pic>
              </a:graphicData>
            </a:graphic>
          </wp:inline>
        </w:drawing>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Indeed, neither the centered 2% trend of all three indices since the year 2000 nor the short-term divergences among them during that period have anything to do with real GDP growth. On an LTM basis, the latter ranged from a positive 5% run rate to a negative 3% rate, but there is absolutely no correlation with the modest oscillations and divergences of reported consumer inflation during the period.</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So what was Yellen obsessing about? Well, on a one-year basis, the PCE index is up 0.2%, the CPI has gained 0.1%, the PCE less food and energy is higher by 1.4% and the CPI less food and energy is up by 1.9%.</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 xml:space="preserve">So what? </w:t>
      </w:r>
      <w:r w:rsidRPr="00EE6120">
        <w:rPr>
          <w:rFonts w:ascii="Verdana" w:eastAsia="Times New Roman" w:hAnsi="Verdana" w:cs="Times New Roman"/>
          <w:color w:val="000000"/>
          <w:sz w:val="20"/>
          <w:szCs w:val="20"/>
          <w:highlight w:val="yellow"/>
        </w:rPr>
        <w:t>Can you say global oil and commodity price collapse?</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noProof/>
          <w:color w:val="000000"/>
          <w:sz w:val="20"/>
          <w:szCs w:val="20"/>
        </w:rPr>
        <w:lastRenderedPageBreak/>
        <w:drawing>
          <wp:inline distT="0" distB="0" distL="0" distR="0">
            <wp:extent cx="4376934" cy="3919253"/>
            <wp:effectExtent l="0" t="0" r="5080" b="5080"/>
            <wp:docPr id="7" name="Picture 7" descr="http://myf.red/g/2W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yf.red/g/2WCk/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383678" cy="3925292"/>
                    </a:xfrm>
                    <a:prstGeom prst="rect">
                      <a:avLst/>
                    </a:prstGeom>
                    <a:noFill/>
                    <a:ln>
                      <a:noFill/>
                    </a:ln>
                  </pic:spPr>
                </pic:pic>
              </a:graphicData>
            </a:graphic>
          </wp:inline>
        </w:drawing>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The essence of Yellen’s “transient” factor discussion is that the chart’s lower right-hand readings for October/November are purportedly the bottoms for iron ore, copper, crude oil and the other commodities; that these plot points will anniversary next fall; and that the year-on-year inflation rate thereafter will normalize toward 2% when the statistical drag of commodities passes through the index.</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b/>
          <w:bCs/>
          <w:color w:val="000000"/>
          <w:sz w:val="20"/>
          <w:szCs w:val="20"/>
          <w:u w:val="single"/>
        </w:rPr>
        <w:t>It’s just math. Yes, and a blind squirrel occasionally finds an acorn!</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 xml:space="preserve">In truth, Yellen &amp; Co have no clue as to </w:t>
      </w:r>
      <w:r w:rsidRPr="00EE6120">
        <w:rPr>
          <w:rFonts w:ascii="Verdana" w:eastAsia="Times New Roman" w:hAnsi="Verdana" w:cs="Times New Roman"/>
          <w:color w:val="000000"/>
          <w:sz w:val="20"/>
          <w:szCs w:val="20"/>
          <w:highlight w:val="yellow"/>
        </w:rPr>
        <w:t>when the current massive commodity gluts will be absorbed or how the leads and lags in the global commodity price equations will play out</w:t>
      </w:r>
      <w:r w:rsidRPr="00EE6120">
        <w:rPr>
          <w:rFonts w:ascii="Verdana" w:eastAsia="Times New Roman" w:hAnsi="Verdana" w:cs="Times New Roman"/>
          <w:color w:val="000000"/>
          <w:sz w:val="20"/>
          <w:szCs w:val="20"/>
        </w:rPr>
        <w:t>.</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In fact, since we are dealing with massive over-investment in shale, tar sands, iron ore mines, aluminum smelters, bulk carriers etc., it appears that supply could still be rising for several year as cheap credit-fueled projects come on stream. At the same time, global demand continues to falter owing to collapsing incomes and wage bills in the primary materials, manufactured goods and transportation/distribution sectors.</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 xml:space="preserve">So </w:t>
      </w:r>
      <w:r w:rsidRPr="00EE6120">
        <w:rPr>
          <w:rFonts w:ascii="Verdana" w:eastAsia="Times New Roman" w:hAnsi="Verdana" w:cs="Times New Roman"/>
          <w:color w:val="000000"/>
          <w:sz w:val="20"/>
          <w:szCs w:val="20"/>
          <w:highlight w:val="yellow"/>
        </w:rPr>
        <w:t>it could be years before</w:t>
      </w:r>
      <w:r w:rsidRPr="00EE6120">
        <w:rPr>
          <w:rFonts w:ascii="Verdana" w:eastAsia="Times New Roman" w:hAnsi="Verdana" w:cs="Times New Roman"/>
          <w:color w:val="000000"/>
          <w:sz w:val="20"/>
          <w:szCs w:val="20"/>
        </w:rPr>
        <w:t xml:space="preserve"> Yellen’s mechanical anniversary factor shows up in the inflation indices. During the interim, moreover, the flow-through impact of still lower commodity and processed materials prices on the global manufacturing and consumer goods supply chain is all but impossible to calculate; </w:t>
      </w:r>
      <w:proofErr w:type="gramStart"/>
      <w:r w:rsidRPr="00EE6120">
        <w:rPr>
          <w:rFonts w:ascii="Verdana" w:eastAsia="Times New Roman" w:hAnsi="Verdana" w:cs="Times New Roman"/>
          <w:color w:val="000000"/>
          <w:sz w:val="20"/>
          <w:szCs w:val="20"/>
        </w:rPr>
        <w:t>it’s</w:t>
      </w:r>
      <w:proofErr w:type="gramEnd"/>
      <w:r w:rsidRPr="00EE6120">
        <w:rPr>
          <w:rFonts w:ascii="Verdana" w:eastAsia="Times New Roman" w:hAnsi="Verdana" w:cs="Times New Roman"/>
          <w:color w:val="000000"/>
          <w:sz w:val="20"/>
          <w:szCs w:val="20"/>
        </w:rPr>
        <w:t xml:space="preserve"> transmission will be shucked and jived by the currency exchange rate interventions of dozens of significant central banks.</w:t>
      </w:r>
    </w:p>
    <w:p w:rsid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 xml:space="preserve">And that points to the larger truth. The whole 2.00% inflation obsession is pointless, and not only because there is no scientific proof anywhere </w:t>
      </w:r>
      <w:proofErr w:type="gramStart"/>
      <w:r w:rsidRPr="00EE6120">
        <w:rPr>
          <w:rFonts w:ascii="Verdana" w:eastAsia="Times New Roman" w:hAnsi="Verdana" w:cs="Times New Roman"/>
          <w:color w:val="000000"/>
          <w:sz w:val="20"/>
          <w:szCs w:val="20"/>
        </w:rPr>
        <w:t>that 2.00% inflation is</w:t>
      </w:r>
      <w:proofErr w:type="gramEnd"/>
      <w:r w:rsidRPr="00EE6120">
        <w:rPr>
          <w:rFonts w:ascii="Verdana" w:eastAsia="Times New Roman" w:hAnsi="Verdana" w:cs="Times New Roman"/>
          <w:color w:val="000000"/>
          <w:sz w:val="20"/>
          <w:szCs w:val="20"/>
        </w:rPr>
        <w:t xml:space="preserve"> better for growth than 1.20% or 0.02%. The dispositive point is that the Fed can do virtually nothing </w:t>
      </w:r>
      <w:r w:rsidRPr="00EE6120">
        <w:rPr>
          <w:rFonts w:ascii="Verdana" w:eastAsia="Times New Roman" w:hAnsi="Verdana" w:cs="Times New Roman"/>
          <w:color w:val="000000"/>
          <w:sz w:val="20"/>
          <w:szCs w:val="20"/>
        </w:rPr>
        <w:lastRenderedPageBreak/>
        <w:t>about present inflation readings, as reflected in the primitive CPI indexes for the domestic economy.</w:t>
      </w:r>
    </w:p>
    <w:p w:rsidR="00D62C06" w:rsidRPr="00EE6120" w:rsidRDefault="00D62C06" w:rsidP="00EE6120">
      <w:pPr>
        <w:shd w:val="clear" w:color="auto" w:fill="FFFFFF"/>
        <w:spacing w:before="60" w:after="180" w:line="260" w:lineRule="atLeast"/>
        <w:rPr>
          <w:rFonts w:ascii="Verdana" w:eastAsia="Times New Roman" w:hAnsi="Verdana" w:cs="Times New Roman"/>
          <w:color w:val="000000"/>
          <w:sz w:val="20"/>
          <w:szCs w:val="20"/>
        </w:rPr>
      </w:pPr>
      <w:r w:rsidRPr="00D62C06">
        <w:rPr>
          <w:rFonts w:ascii="Verdana" w:eastAsia="Times New Roman" w:hAnsi="Verdana" w:cs="Times New Roman"/>
          <w:color w:val="000000"/>
          <w:sz w:val="20"/>
          <w:szCs w:val="20"/>
        </w:rPr>
        <w:t>There are actually four relevant components to an honest reckoning of inflation—–</w:t>
      </w:r>
    </w:p>
    <w:p w:rsidR="00D62C06" w:rsidRPr="00D62C06" w:rsidRDefault="00EE6120" w:rsidP="00D62C06">
      <w:pPr>
        <w:pStyle w:val="ListParagraph"/>
        <w:numPr>
          <w:ilvl w:val="0"/>
          <w:numId w:val="3"/>
        </w:numPr>
        <w:shd w:val="clear" w:color="auto" w:fill="FFFFFF"/>
        <w:spacing w:before="60" w:after="180" w:line="260" w:lineRule="atLeast"/>
        <w:rPr>
          <w:rFonts w:ascii="Verdana" w:eastAsia="Times New Roman" w:hAnsi="Verdana" w:cs="Times New Roman"/>
          <w:color w:val="000000"/>
          <w:sz w:val="20"/>
          <w:szCs w:val="20"/>
        </w:rPr>
      </w:pPr>
      <w:r w:rsidRPr="00D62C06">
        <w:rPr>
          <w:rFonts w:ascii="Verdana" w:eastAsia="Times New Roman" w:hAnsi="Verdana" w:cs="Times New Roman"/>
          <w:color w:val="000000"/>
          <w:sz w:val="20"/>
          <w:szCs w:val="20"/>
        </w:rPr>
        <w:t xml:space="preserve">commodities, </w:t>
      </w:r>
    </w:p>
    <w:p w:rsidR="00D62C06" w:rsidRPr="00D62C06" w:rsidRDefault="00EE6120" w:rsidP="00D62C06">
      <w:pPr>
        <w:pStyle w:val="ListParagraph"/>
        <w:numPr>
          <w:ilvl w:val="0"/>
          <w:numId w:val="3"/>
        </w:numPr>
        <w:shd w:val="clear" w:color="auto" w:fill="FFFFFF"/>
        <w:spacing w:before="60" w:after="180" w:line="260" w:lineRule="atLeast"/>
        <w:rPr>
          <w:rFonts w:ascii="Verdana" w:eastAsia="Times New Roman" w:hAnsi="Verdana" w:cs="Times New Roman"/>
          <w:color w:val="000000"/>
          <w:sz w:val="20"/>
          <w:szCs w:val="20"/>
        </w:rPr>
      </w:pPr>
      <w:r w:rsidRPr="00D62C06">
        <w:rPr>
          <w:rFonts w:ascii="Verdana" w:eastAsia="Times New Roman" w:hAnsi="Verdana" w:cs="Times New Roman"/>
          <w:color w:val="000000"/>
          <w:sz w:val="20"/>
          <w:szCs w:val="20"/>
        </w:rPr>
        <w:t xml:space="preserve">tradable goods and services, </w:t>
      </w:r>
    </w:p>
    <w:p w:rsidR="00D62C06" w:rsidRPr="00D62C06" w:rsidRDefault="00EE6120" w:rsidP="00D62C06">
      <w:pPr>
        <w:pStyle w:val="ListParagraph"/>
        <w:numPr>
          <w:ilvl w:val="0"/>
          <w:numId w:val="3"/>
        </w:numPr>
        <w:shd w:val="clear" w:color="auto" w:fill="FFFFFF"/>
        <w:spacing w:before="60" w:after="180" w:line="260" w:lineRule="atLeast"/>
        <w:rPr>
          <w:rFonts w:ascii="Verdana" w:eastAsia="Times New Roman" w:hAnsi="Verdana" w:cs="Times New Roman"/>
          <w:color w:val="000000"/>
          <w:sz w:val="20"/>
          <w:szCs w:val="20"/>
        </w:rPr>
      </w:pPr>
      <w:r w:rsidRPr="00D62C06">
        <w:rPr>
          <w:rFonts w:ascii="Verdana" w:eastAsia="Times New Roman" w:hAnsi="Verdana" w:cs="Times New Roman"/>
          <w:color w:val="000000"/>
          <w:sz w:val="20"/>
          <w:szCs w:val="20"/>
        </w:rPr>
        <w:t xml:space="preserve">housing rents and </w:t>
      </w:r>
    </w:p>
    <w:p w:rsidR="00D62C06" w:rsidRPr="00D62C06" w:rsidRDefault="00EE6120" w:rsidP="00D62C06">
      <w:pPr>
        <w:pStyle w:val="ListParagraph"/>
        <w:numPr>
          <w:ilvl w:val="0"/>
          <w:numId w:val="3"/>
        </w:numPr>
        <w:shd w:val="clear" w:color="auto" w:fill="FFFFFF"/>
        <w:spacing w:before="60" w:after="180" w:line="260" w:lineRule="atLeast"/>
        <w:rPr>
          <w:rFonts w:ascii="Verdana" w:eastAsia="Times New Roman" w:hAnsi="Verdana" w:cs="Times New Roman"/>
          <w:color w:val="000000"/>
          <w:sz w:val="20"/>
          <w:szCs w:val="20"/>
        </w:rPr>
      </w:pPr>
      <w:proofErr w:type="gramStart"/>
      <w:r w:rsidRPr="00D62C06">
        <w:rPr>
          <w:rFonts w:ascii="Verdana" w:eastAsia="Times New Roman" w:hAnsi="Verdana" w:cs="Times New Roman"/>
          <w:color w:val="000000"/>
          <w:sz w:val="20"/>
          <w:szCs w:val="20"/>
        </w:rPr>
        <w:t>purely</w:t>
      </w:r>
      <w:proofErr w:type="gramEnd"/>
      <w:r w:rsidRPr="00D62C06">
        <w:rPr>
          <w:rFonts w:ascii="Verdana" w:eastAsia="Times New Roman" w:hAnsi="Verdana" w:cs="Times New Roman"/>
          <w:color w:val="000000"/>
          <w:sz w:val="20"/>
          <w:szCs w:val="20"/>
        </w:rPr>
        <w:t xml:space="preserve"> domestic services. </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None of them lend themselves to Fed micro-management or inflation-pumping.</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Housing rents as measured by most private sector indices are running at 3-5% annually. There is no inflation deficiency there.</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Likewise, the BLS measures of purely domestic services are a second cousin of random noise. Does anyone really believe that medical care costs have rising at only a 2.9% annual rate since Obamacare incepted in 2011? Or that education bills have risen at only a 3.5% rate during the past three years.</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And how do you measure price change for services provided by yoga studios, gardeners, delivery boys, dog groomers, home cleaning vendors, tutors and trainers etc. when there is no standard unit of product? The BLS numbers are a random approximation, and the so-called “inflation rate” of domestic services need not be managed by the Fed anyway.</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When it comes to the myriad of ever changing domestic services, tens of millions of consumers will slice, dice, repackage and substitute their way to a satisfactory solution with no help whatsoever from the Eccles Building.</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By the same token, the price of tradable goods and services is being set now, and for a long time to come, by the vast excess of manufacturing and transportation capacity that has been generated by the world’s $185 trillion credit bubble over the last two decades; and by a surfeit of cheap labor that was uprooted from traditional villages and rice paddies by central bank enabled economic booms and </w:t>
      </w:r>
      <w:proofErr w:type="spellStart"/>
      <w:r w:rsidRPr="00EE6120">
        <w:rPr>
          <w:rFonts w:ascii="Verdana" w:eastAsia="Times New Roman" w:hAnsi="Verdana" w:cs="Times New Roman"/>
          <w:color w:val="000000"/>
          <w:sz w:val="20"/>
          <w:szCs w:val="20"/>
        </w:rPr>
        <w:t>malinvestment</w:t>
      </w:r>
      <w:proofErr w:type="spellEnd"/>
      <w:r w:rsidRPr="00EE6120">
        <w:rPr>
          <w:rFonts w:ascii="Verdana" w:eastAsia="Times New Roman" w:hAnsi="Verdana" w:cs="Times New Roman"/>
          <w:color w:val="000000"/>
          <w:sz w:val="20"/>
          <w:szCs w:val="20"/>
        </w:rPr>
        <w:t>.</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There is no telling how long it will take to absorb all of these capital and labor excesses or when the price of manufactured goods will get up off the economic floorboards.</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Stated differently, the price of goods and commodities has been baked into the cake by the massive credit and </w:t>
      </w:r>
      <w:proofErr w:type="spellStart"/>
      <w:r w:rsidRPr="00EE6120">
        <w:rPr>
          <w:rFonts w:ascii="Verdana" w:eastAsia="Times New Roman" w:hAnsi="Verdana" w:cs="Times New Roman"/>
          <w:color w:val="000000"/>
          <w:sz w:val="20"/>
          <w:szCs w:val="20"/>
        </w:rPr>
        <w:t>CapEx</w:t>
      </w:r>
      <w:proofErr w:type="spellEnd"/>
      <w:r w:rsidRPr="00EE6120">
        <w:rPr>
          <w:rFonts w:ascii="Verdana" w:eastAsia="Times New Roman" w:hAnsi="Verdana" w:cs="Times New Roman"/>
          <w:color w:val="000000"/>
          <w:sz w:val="20"/>
          <w:szCs w:val="20"/>
        </w:rPr>
        <w:t xml:space="preserve"> spree the global economy has experienced since the early 1990s. </w:t>
      </w:r>
      <w:r w:rsidRPr="00EE6120">
        <w:rPr>
          <w:rFonts w:ascii="Verdana" w:eastAsia="Times New Roman" w:hAnsi="Verdana" w:cs="Times New Roman"/>
          <w:color w:val="000000"/>
          <w:sz w:val="20"/>
          <w:szCs w:val="20"/>
          <w:highlight w:val="yellow"/>
        </w:rPr>
        <w:t>Whatever the Fed does</w:t>
      </w:r>
      <w:r w:rsidRPr="00EE6120">
        <w:rPr>
          <w:rFonts w:ascii="Verdana" w:eastAsia="Times New Roman" w:hAnsi="Verdana" w:cs="Times New Roman"/>
          <w:color w:val="000000"/>
          <w:sz w:val="20"/>
          <w:szCs w:val="20"/>
        </w:rPr>
        <w:t> at its next several monthly meetings or over the course of the next few years </w:t>
      </w:r>
      <w:r w:rsidRPr="00EE6120">
        <w:rPr>
          <w:rFonts w:ascii="Verdana" w:eastAsia="Times New Roman" w:hAnsi="Verdana" w:cs="Times New Roman"/>
          <w:color w:val="000000"/>
          <w:sz w:val="20"/>
          <w:szCs w:val="20"/>
          <w:highlight w:val="yellow"/>
        </w:rPr>
        <w:t>is of absolutely no moment</w:t>
      </w:r>
      <w:r w:rsidRPr="00EE6120">
        <w:rPr>
          <w:rFonts w:ascii="Verdana" w:eastAsia="Times New Roman" w:hAnsi="Verdana" w:cs="Times New Roman"/>
          <w:color w:val="000000"/>
          <w:sz w:val="20"/>
          <w:szCs w:val="20"/>
        </w:rPr>
        <w:t>.</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In the credit swollen global economy of the present era, trying to manage the domestic inflation rate to the second decimal place is about as useful as manufacturing buggy whips. And the odds of hitting a 2.00% target are as likely as a room full of monkeys typing the Declaration of Independence.</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 xml:space="preserve">The only thing that made less sense during the course of Yellen’s blathering was her constant reference to </w:t>
      </w:r>
      <w:r w:rsidRPr="00EE6120">
        <w:rPr>
          <w:rFonts w:ascii="Verdana" w:eastAsia="Times New Roman" w:hAnsi="Verdana" w:cs="Times New Roman"/>
          <w:color w:val="000000"/>
          <w:sz w:val="20"/>
          <w:szCs w:val="20"/>
          <w:highlight w:val="yellow"/>
        </w:rPr>
        <w:t>“slack”</w:t>
      </w:r>
      <w:r w:rsidRPr="00EE6120">
        <w:rPr>
          <w:rFonts w:ascii="Verdana" w:eastAsia="Times New Roman" w:hAnsi="Verdana" w:cs="Times New Roman"/>
          <w:color w:val="000000"/>
          <w:sz w:val="20"/>
          <w:szCs w:val="20"/>
        </w:rPr>
        <w:t xml:space="preserve"> in the labor market, and the repeated expression of confidence that with a little more expert help from the Eccles Building it </w:t>
      </w:r>
      <w:r w:rsidRPr="00EE6120">
        <w:rPr>
          <w:rFonts w:ascii="Verdana" w:eastAsia="Times New Roman" w:hAnsi="Verdana" w:cs="Times New Roman"/>
          <w:color w:val="000000"/>
          <w:sz w:val="20"/>
          <w:szCs w:val="20"/>
          <w:highlight w:val="yellow"/>
        </w:rPr>
        <w:t>will be fully absorbed</w:t>
      </w:r>
      <w:r w:rsidRPr="00EE6120">
        <w:rPr>
          <w:rFonts w:ascii="Verdana" w:eastAsia="Times New Roman" w:hAnsi="Verdana" w:cs="Times New Roman"/>
          <w:color w:val="000000"/>
          <w:sz w:val="20"/>
          <w:szCs w:val="20"/>
        </w:rPr>
        <w:t>.</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lastRenderedPageBreak/>
        <w:t xml:space="preserve">But </w:t>
      </w:r>
      <w:r w:rsidRPr="00EE6120">
        <w:rPr>
          <w:rFonts w:ascii="Verdana" w:eastAsia="Times New Roman" w:hAnsi="Verdana" w:cs="Times New Roman"/>
          <w:color w:val="000000"/>
          <w:sz w:val="20"/>
          <w:szCs w:val="20"/>
          <w:highlight w:val="yellow"/>
        </w:rPr>
        <w:t>that’s just</w:t>
      </w:r>
      <w:r w:rsidRPr="00EE6120">
        <w:rPr>
          <w:rFonts w:ascii="Verdana" w:eastAsia="Times New Roman" w:hAnsi="Verdana" w:cs="Times New Roman"/>
          <w:color w:val="000000"/>
          <w:sz w:val="20"/>
          <w:szCs w:val="20"/>
        </w:rPr>
        <w:t xml:space="preserve"> the 50 year-old factory based model of “potential GDP” and full employment based on a census style count of job holders versus what was then mainly an adult male work force.</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By contrast, in today’s world of global labor competition in goods, off-shored business services, episodic domestic gigs, temp agency labor delivery and Wal-Mart style labor scheduling by the hour and time of day, week, month and season the whole idea of “full employment” is a relic. And a stupid one at that.</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b/>
          <w:bCs/>
          <w:color w:val="000000"/>
          <w:sz w:val="20"/>
          <w:szCs w:val="20"/>
        </w:rPr>
        <w:t xml:space="preserve">The only common denominator left is the adult population, which numbers 255 million by headcount and 510 billion by standard work-year </w:t>
      </w:r>
      <w:proofErr w:type="gramStart"/>
      <w:r w:rsidRPr="00EE6120">
        <w:rPr>
          <w:rFonts w:ascii="Verdana" w:eastAsia="Times New Roman" w:hAnsi="Verdana" w:cs="Times New Roman"/>
          <w:b/>
          <w:bCs/>
          <w:color w:val="000000"/>
          <w:sz w:val="20"/>
          <w:szCs w:val="20"/>
        </w:rPr>
        <w:t>hours</w:t>
      </w:r>
      <w:proofErr w:type="gramEnd"/>
      <w:r w:rsidRPr="00EE6120">
        <w:rPr>
          <w:rFonts w:ascii="Verdana" w:eastAsia="Times New Roman" w:hAnsi="Verdana" w:cs="Times New Roman"/>
          <w:b/>
          <w:bCs/>
          <w:color w:val="000000"/>
          <w:sz w:val="20"/>
          <w:szCs w:val="20"/>
        </w:rPr>
        <w:t xml:space="preserve"> count.  Over and against that, the US economy is currently utilizing about 250 billion labor hours annually according to the BLS.</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No, that doesn’t mean that we have a 50% unemployment rate. But it does underscore the fact that in today’s world there are no “natural” or structurally fixed coefficients for withdrawal of available population hours from the labor force owing to retirement age, disability rates, election to non-monetized homemaker status, student status, or lifestyle preferences for malingering, begging, free charitable endeavors or asceticism.</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Self-evidently, these decrements from the nation’s 250 billion odd un-deployed potential labor hours are effected by tax and welfare policies, accumulated retirement savings and an endless list of cultural and psychological factors.</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They have little to do with any measurable business cycle; and they shift and morph steadily over time and in response to new technological and cultural developments. They are utterly beyond the reach of 25 basis points of interest rate shifts on the money markets.</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In short, there is no bathtub of “aggregate demand” to be filled to the brim by the monetary central planners in the Eccles Building. Nor is there any inflation and employment numerology that can measure full employment, full inflation (e.g. 2.00%) and full utilization of all other economic resources.</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The fact is, you cannot even measure the utilization rate of say an auto assembly plant in today’s world. It is all a function of line speed, robot function and capacity and vehicle configuration and complexity; and the latter, in turn, are the result of discretionary choices as to capital investment levels and vehicle design.</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b/>
          <w:bCs/>
          <w:i/>
          <w:iCs/>
          <w:color w:val="000000"/>
          <w:sz w:val="20"/>
          <w:szCs w:val="20"/>
          <w:u w:val="single"/>
        </w:rPr>
        <w:t xml:space="preserve">The bottom line is simple. </w:t>
      </w:r>
      <w:r w:rsidRPr="00D62C06">
        <w:rPr>
          <w:rFonts w:ascii="Verdana" w:eastAsia="Times New Roman" w:hAnsi="Verdana" w:cs="Times New Roman"/>
          <w:b/>
          <w:bCs/>
          <w:i/>
          <w:iCs/>
          <w:color w:val="000000"/>
          <w:sz w:val="20"/>
          <w:szCs w:val="20"/>
          <w:highlight w:val="yellow"/>
          <w:u w:val="single"/>
        </w:rPr>
        <w:t>There is no such thing as potential GDP, yet in Yellen’s model that is the only thing.</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 xml:space="preserve">So as she and her posse of money printers attempt to achieve impossible macroeconomic targets embedded in a tinker toy model of economic reality, there is only one implication. That is, </w:t>
      </w:r>
      <w:r w:rsidRPr="00EE6120">
        <w:rPr>
          <w:rFonts w:ascii="Verdana" w:eastAsia="Times New Roman" w:hAnsi="Verdana" w:cs="Times New Roman"/>
          <w:color w:val="000000"/>
          <w:sz w:val="20"/>
          <w:szCs w:val="20"/>
          <w:highlight w:val="yellow"/>
        </w:rPr>
        <w:t>look out below!</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The only thing they are doing is deforming and inflating the Wall Street casino.  As we have demonstrated so many times, the household credit channel of monetary policy transmission is over and done because we have reached a condition of peak debt.</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Consequently</w:t>
      </w:r>
      <w:r w:rsidRPr="00EE6120">
        <w:rPr>
          <w:rFonts w:ascii="Verdana" w:eastAsia="Times New Roman" w:hAnsi="Verdana" w:cs="Times New Roman"/>
          <w:color w:val="000000"/>
          <w:sz w:val="20"/>
          <w:szCs w:val="20"/>
          <w:highlight w:val="yellow"/>
        </w:rPr>
        <w:t>, the one-time parlor trick of leveraging-up household balance sheets was exhausted long-ago by Yellen’s Keynesian forbearers</w:t>
      </w:r>
      <w:r w:rsidRPr="00EE6120">
        <w:rPr>
          <w:rFonts w:ascii="Verdana" w:eastAsia="Times New Roman" w:hAnsi="Verdana" w:cs="Times New Roman"/>
          <w:color w:val="000000"/>
          <w:sz w:val="20"/>
          <w:szCs w:val="20"/>
        </w:rPr>
        <w:t xml:space="preserve">. Consumer spending is now strictly a </w:t>
      </w:r>
      <w:r w:rsidRPr="00EE6120">
        <w:rPr>
          <w:rFonts w:ascii="Verdana" w:eastAsia="Times New Roman" w:hAnsi="Verdana" w:cs="Times New Roman"/>
          <w:color w:val="000000"/>
          <w:sz w:val="20"/>
          <w:szCs w:val="20"/>
        </w:rPr>
        <w:lastRenderedPageBreak/>
        <w:t>function of current production and income, and that is punk owing to Washington’s smothering of supply side energies with taxes, regulations and cheap foreign goods.</w:t>
      </w:r>
    </w:p>
    <w:p w:rsidR="00EE6120" w:rsidRPr="00EE6120" w:rsidRDefault="00EE6120" w:rsidP="00EE6120">
      <w:pPr>
        <w:shd w:val="clear" w:color="auto" w:fill="FFFFFF"/>
        <w:spacing w:after="0" w:line="260" w:lineRule="atLeast"/>
        <w:rPr>
          <w:rFonts w:ascii="Verdana" w:eastAsia="Times New Roman" w:hAnsi="Verdana" w:cs="Times New Roman"/>
          <w:color w:val="000000"/>
          <w:sz w:val="20"/>
          <w:szCs w:val="20"/>
        </w:rPr>
      </w:pPr>
      <w:r w:rsidRPr="00EE6120">
        <w:rPr>
          <w:rFonts w:ascii="Verdana" w:eastAsia="Times New Roman" w:hAnsi="Verdana" w:cs="Times New Roman"/>
          <w:noProof/>
          <w:color w:val="666666"/>
          <w:sz w:val="20"/>
          <w:szCs w:val="20"/>
        </w:rPr>
        <w:drawing>
          <wp:inline distT="0" distB="0" distL="0" distR="0">
            <wp:extent cx="4572000" cy="2701290"/>
            <wp:effectExtent l="0" t="0" r="0" b="3810"/>
            <wp:docPr id="6" name="Picture 6" descr="Household Leverage Ratio - Click to enlarge">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usehold Leverage Ratio - Click to enlarge">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72000" cy="2701290"/>
                    </a:xfrm>
                    <a:prstGeom prst="rect">
                      <a:avLst/>
                    </a:prstGeom>
                    <a:noFill/>
                    <a:ln>
                      <a:noFill/>
                    </a:ln>
                  </pic:spPr>
                </pic:pic>
              </a:graphicData>
            </a:graphic>
          </wp:inline>
        </w:drawing>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Household Leverage Ratio – Click to enlarge</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In fact, notwithstanding the boom in student loans and auto finance, nominal household debt has been stagnant. That fact alone is dispositive.</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highlight w:val="yellow"/>
        </w:rPr>
        <w:t>Monetary policy works</w:t>
      </w:r>
      <w:r w:rsidRPr="00EE6120">
        <w:rPr>
          <w:rFonts w:ascii="Verdana" w:eastAsia="Times New Roman" w:hAnsi="Verdana" w:cs="Times New Roman"/>
          <w:color w:val="000000"/>
          <w:sz w:val="20"/>
          <w:szCs w:val="20"/>
        </w:rPr>
        <w:t xml:space="preserve"> not through magic and sentiment, but </w:t>
      </w:r>
      <w:r w:rsidRPr="00EE6120">
        <w:rPr>
          <w:rFonts w:ascii="Verdana" w:eastAsia="Times New Roman" w:hAnsi="Verdana" w:cs="Times New Roman"/>
          <w:color w:val="000000"/>
          <w:sz w:val="20"/>
          <w:szCs w:val="20"/>
          <w:highlight w:val="yellow"/>
        </w:rPr>
        <w:t>via cheap interest rates that encourage people to borrow more than they would otherwise.</w:t>
      </w:r>
      <w:r w:rsidRPr="00EE6120">
        <w:rPr>
          <w:rFonts w:ascii="Verdana" w:eastAsia="Times New Roman" w:hAnsi="Verdana" w:cs="Times New Roman"/>
          <w:color w:val="000000"/>
          <w:sz w:val="20"/>
          <w:szCs w:val="20"/>
        </w:rPr>
        <w:t> They haven’t.</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noProof/>
          <w:color w:val="000000"/>
          <w:sz w:val="20"/>
          <w:szCs w:val="20"/>
        </w:rPr>
        <w:drawing>
          <wp:inline distT="0" distB="0" distL="0" distR="0">
            <wp:extent cx="4485886" cy="2009298"/>
            <wp:effectExtent l="0" t="0" r="0" b="0"/>
            <wp:docPr id="5" name="Picture 5" descr="http://myf.red/g/2W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yf.red/g/2WNK/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504036" cy="2017428"/>
                    </a:xfrm>
                    <a:prstGeom prst="rect">
                      <a:avLst/>
                    </a:prstGeom>
                    <a:noFill/>
                    <a:ln>
                      <a:noFill/>
                    </a:ln>
                  </pic:spPr>
                </pic:pic>
              </a:graphicData>
            </a:graphic>
          </wp:inline>
        </w:drawing>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In point of fact, the primary source of private sector credit growth since the pre-crisis peak has been in the business sector. Credit market debt outstanding in nonfinancial business has risen from $10.6 trillion on the eve of the financial crisis to $12.6 trillion.</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Yet the lion’s share of that $2 trillion gain is accounted for by the surge of high yield loans and bonds, which have more than doubled from $1.2 trillion to $2.6 trillion during the same period.</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noProof/>
          <w:color w:val="666666"/>
          <w:sz w:val="20"/>
          <w:szCs w:val="20"/>
        </w:rPr>
        <w:lastRenderedPageBreak/>
        <w:drawing>
          <wp:inline distT="0" distB="0" distL="0" distR="0">
            <wp:extent cx="4572000" cy="3100705"/>
            <wp:effectExtent l="0" t="0" r="0" b="4445"/>
            <wp:docPr id="4" name="Picture 4" descr="levdebt-480x326">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vdebt-480x326">
                      <a:hlinkClick r:id="rId44" tgtFrame="&quot;_blank&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72000" cy="3100705"/>
                    </a:xfrm>
                    <a:prstGeom prst="rect">
                      <a:avLst/>
                    </a:prstGeom>
                    <a:noFill/>
                    <a:ln>
                      <a:noFill/>
                    </a:ln>
                  </pic:spPr>
                </pic:pic>
              </a:graphicData>
            </a:graphic>
          </wp:inline>
        </w:drawing>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And one thing can be said with authority with respect to this soaring pile of junk. Namely, that it was overwhelmingly used for financial engineering in the form of stock buybacks, M&amp;A deals and LBO’s</w:t>
      </w:r>
      <w:r w:rsidRPr="00EE6120">
        <w:rPr>
          <w:rFonts w:ascii="Verdana" w:eastAsia="Times New Roman" w:hAnsi="Verdana" w:cs="Times New Roman"/>
          <w:color w:val="000000"/>
          <w:sz w:val="20"/>
          <w:szCs w:val="20"/>
          <w:highlight w:val="yellow"/>
        </w:rPr>
        <w:t>. It thereby help to drive up the price of existing financial assets, not expand the US economy’s productive capacity and efficiency.</w:t>
      </w:r>
      <w:r w:rsidR="00247B93">
        <w:rPr>
          <w:rFonts w:ascii="Verdana" w:eastAsia="Times New Roman" w:hAnsi="Verdana" w:cs="Times New Roman"/>
          <w:color w:val="000000"/>
          <w:sz w:val="20"/>
          <w:szCs w:val="20"/>
        </w:rPr>
        <w:t xml:space="preserve">  </w:t>
      </w:r>
      <w:r w:rsidR="00247B93" w:rsidRPr="00247B93">
        <w:rPr>
          <w:rFonts w:ascii="Verdana" w:eastAsia="Times New Roman" w:hAnsi="Verdana" w:cs="Times New Roman"/>
          <w:color w:val="FF00FF"/>
          <w:sz w:val="20"/>
          <w:szCs w:val="20"/>
        </w:rPr>
        <w:t>(</w:t>
      </w:r>
      <w:proofErr w:type="gramStart"/>
      <w:r w:rsidR="00247B93" w:rsidRPr="00247B93">
        <w:rPr>
          <w:rFonts w:ascii="Verdana" w:eastAsia="Times New Roman" w:hAnsi="Verdana" w:cs="Times New Roman"/>
          <w:color w:val="FF00FF"/>
          <w:sz w:val="20"/>
          <w:szCs w:val="20"/>
        </w:rPr>
        <w:t>helped</w:t>
      </w:r>
      <w:proofErr w:type="gramEnd"/>
      <w:r w:rsidR="00247B93" w:rsidRPr="00247B93">
        <w:rPr>
          <w:rFonts w:ascii="Verdana" w:eastAsia="Times New Roman" w:hAnsi="Verdana" w:cs="Times New Roman"/>
          <w:color w:val="FF00FF"/>
          <w:sz w:val="20"/>
          <w:szCs w:val="20"/>
        </w:rPr>
        <w:t>)</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noProof/>
          <w:color w:val="666666"/>
          <w:sz w:val="20"/>
          <w:szCs w:val="20"/>
        </w:rPr>
        <w:drawing>
          <wp:inline distT="0" distB="0" distL="0" distR="0">
            <wp:extent cx="4572000" cy="3237230"/>
            <wp:effectExtent l="0" t="0" r="0" b="1270"/>
            <wp:docPr id="3" name="Picture 3" descr="Leveraged Loans Vs. All Commercial Bank Lending - Click to enlarge">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veraged Loans Vs. All Commercial Bank Lending - Click to enlarge">
                      <a:hlinkClick r:id="rId46" tgtFrame="&quot;_blank&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72000" cy="3237230"/>
                    </a:xfrm>
                    <a:prstGeom prst="rect">
                      <a:avLst/>
                    </a:prstGeom>
                    <a:noFill/>
                    <a:ln>
                      <a:noFill/>
                    </a:ln>
                  </pic:spPr>
                </pic:pic>
              </a:graphicData>
            </a:graphic>
          </wp:inline>
        </w:drawing>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In this context, the march of the junk debt yield curves shown below says it all. The Fed’s heavy-handed financial repression did not trigger a domestic investment boom as Bernanke promised the Congress over and over during his twice yearly forays in deception on Capitol Hill; it simply stampeded yield-starved money managers and retail investors alike into the junk bond market regardless of risk.</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b/>
          <w:bCs/>
          <w:color w:val="000000"/>
          <w:sz w:val="20"/>
          <w:szCs w:val="20"/>
        </w:rPr>
        <w:lastRenderedPageBreak/>
        <w:t xml:space="preserve">Stated differently, </w:t>
      </w:r>
      <w:r w:rsidRPr="00247B93">
        <w:rPr>
          <w:rFonts w:ascii="Verdana" w:eastAsia="Times New Roman" w:hAnsi="Verdana" w:cs="Times New Roman"/>
          <w:b/>
          <w:bCs/>
          <w:color w:val="000000"/>
          <w:sz w:val="20"/>
          <w:szCs w:val="20"/>
          <w:highlight w:val="yellow"/>
        </w:rPr>
        <w:t>the major channel of monetary policy transmission that actually worked during the past seven years was the junk debt market.</w:t>
      </w:r>
      <w:r w:rsidRPr="00EE6120">
        <w:rPr>
          <w:rFonts w:ascii="Verdana" w:eastAsia="Times New Roman" w:hAnsi="Verdana" w:cs="Times New Roman"/>
          <w:b/>
          <w:bCs/>
          <w:color w:val="000000"/>
          <w:sz w:val="20"/>
          <w:szCs w:val="20"/>
        </w:rPr>
        <w:t> </w:t>
      </w:r>
      <w:r w:rsidRPr="00EE6120">
        <w:rPr>
          <w:rFonts w:ascii="Verdana" w:eastAsia="Times New Roman" w:hAnsi="Verdana" w:cs="Times New Roman"/>
          <w:color w:val="000000"/>
          <w:sz w:val="20"/>
          <w:szCs w:val="20"/>
        </w:rPr>
        <w:t>And that $2.6 trillion enterprise in the mispricing of risk was the primary driver of $5 trillion in domestic M&amp;A deals and stock buybacks since the crisis.</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Yellen and her cohort have no clue, however, that all of their massive money printing never really left the canyons of Wall Street, but instead inflated the mother of all financial bubbles.</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b/>
          <w:bCs/>
          <w:color w:val="000000"/>
          <w:sz w:val="20"/>
          <w:szCs w:val="20"/>
        </w:rPr>
        <w:t xml:space="preserve">So </w:t>
      </w:r>
      <w:r w:rsidRPr="00247B93">
        <w:rPr>
          <w:rFonts w:ascii="Verdana" w:eastAsia="Times New Roman" w:hAnsi="Verdana" w:cs="Times New Roman"/>
          <w:b/>
          <w:bCs/>
          <w:color w:val="000000"/>
          <w:sz w:val="20"/>
          <w:szCs w:val="20"/>
          <w:highlight w:val="yellow"/>
        </w:rPr>
        <w:t>they are fixing to blow-up the joint for the third time this century.</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 xml:space="preserve">That was plain as day when our Keynesian school </w:t>
      </w:r>
      <w:proofErr w:type="spellStart"/>
      <w:r w:rsidRPr="00EE6120">
        <w:rPr>
          <w:rFonts w:ascii="Verdana" w:eastAsia="Times New Roman" w:hAnsi="Verdana" w:cs="Times New Roman"/>
          <w:color w:val="000000"/>
          <w:sz w:val="20"/>
          <w:szCs w:val="20"/>
        </w:rPr>
        <w:t>marm</w:t>
      </w:r>
      <w:proofErr w:type="spellEnd"/>
      <w:r w:rsidRPr="00EE6120">
        <w:rPr>
          <w:rFonts w:ascii="Verdana" w:eastAsia="Times New Roman" w:hAnsi="Verdana" w:cs="Times New Roman"/>
          <w:color w:val="000000"/>
          <w:sz w:val="20"/>
          <w:szCs w:val="20"/>
        </w:rPr>
        <w:t> </w:t>
      </w:r>
      <w:r w:rsidRPr="00EE6120">
        <w:rPr>
          <w:rFonts w:ascii="Verdana" w:eastAsia="Times New Roman" w:hAnsi="Verdana" w:cs="Times New Roman"/>
          <w:color w:val="000000"/>
          <w:sz w:val="20"/>
          <w:szCs w:val="20"/>
          <w:highlight w:val="yellow"/>
        </w:rPr>
        <w:t>insisted that the Third Avenue credit fund failure this past week was a one-off event - a lone rotten apple in the barrel</w:t>
      </w:r>
      <w:r w:rsidRPr="00EE6120">
        <w:rPr>
          <w:rFonts w:ascii="Verdana" w:eastAsia="Times New Roman" w:hAnsi="Verdana" w:cs="Times New Roman"/>
          <w:color w:val="000000"/>
          <w:sz w:val="20"/>
          <w:szCs w:val="20"/>
        </w:rPr>
        <w:t>.</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b/>
          <w:bCs/>
          <w:color w:val="000000"/>
          <w:sz w:val="20"/>
          <w:szCs w:val="20"/>
        </w:rPr>
        <w:t>Now that is the ultimate in cluelessness.</w:t>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 </w:t>
      </w:r>
    </w:p>
    <w:p w:rsidR="00EE6120" w:rsidRPr="00EE6120" w:rsidRDefault="00EE6120" w:rsidP="00EE6120">
      <w:pPr>
        <w:shd w:val="clear" w:color="auto" w:fill="FFFFFF"/>
        <w:spacing w:after="0" w:line="260" w:lineRule="atLeast"/>
        <w:rPr>
          <w:rFonts w:ascii="Verdana" w:eastAsia="Times New Roman" w:hAnsi="Verdana" w:cs="Times New Roman"/>
          <w:color w:val="000000"/>
          <w:sz w:val="20"/>
          <w:szCs w:val="20"/>
        </w:rPr>
      </w:pPr>
      <w:r w:rsidRPr="00EE6120">
        <w:rPr>
          <w:rFonts w:ascii="Verdana" w:eastAsia="Times New Roman" w:hAnsi="Verdana" w:cs="Times New Roman"/>
          <w:noProof/>
          <w:color w:val="000000"/>
          <w:sz w:val="20"/>
          <w:szCs w:val="20"/>
        </w:rPr>
        <w:drawing>
          <wp:inline distT="0" distB="0" distL="0" distR="0">
            <wp:extent cx="5191541" cy="2528887"/>
            <wp:effectExtent l="0" t="0" r="0" b="5080"/>
            <wp:docPr id="2" name="Picture 2" descr="http://assets.bwbx.io/images/iFoLShg69ejo/v1/-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ssets.bwbx.io/images/iFoLShg69ejo/v1/-1x-1.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14241" cy="2539944"/>
                    </a:xfrm>
                    <a:prstGeom prst="rect">
                      <a:avLst/>
                    </a:prstGeom>
                    <a:noFill/>
                    <a:ln>
                      <a:noFill/>
                    </a:ln>
                  </pic:spPr>
                </pic:pic>
              </a:graphicData>
            </a:graphic>
          </wp:inline>
        </w:drawing>
      </w:r>
    </w:p>
    <w:p w:rsidR="00EE6120" w:rsidRPr="00EE6120" w:rsidRDefault="00EE6120" w:rsidP="00EE6120">
      <w:pPr>
        <w:shd w:val="clear" w:color="auto" w:fill="FFFFFF"/>
        <w:spacing w:after="0" w:line="260" w:lineRule="atLeast"/>
        <w:rPr>
          <w:rFonts w:ascii="Verdana" w:eastAsia="Times New Roman" w:hAnsi="Verdana" w:cs="Times New Roman"/>
          <w:color w:val="000000"/>
          <w:sz w:val="20"/>
          <w:szCs w:val="20"/>
        </w:rPr>
      </w:pPr>
      <w:r w:rsidRPr="00EE6120">
        <w:rPr>
          <w:rFonts w:ascii="Verdana" w:eastAsia="Times New Roman" w:hAnsi="Verdana" w:cs="Times New Roman"/>
          <w:noProof/>
          <w:color w:val="000000"/>
          <w:sz w:val="20"/>
          <w:szCs w:val="20"/>
        </w:rPr>
        <w:drawing>
          <wp:inline distT="0" distB="0" distL="0" distR="0">
            <wp:extent cx="4361618" cy="2124618"/>
            <wp:effectExtent l="0" t="0" r="1270" b="9525"/>
            <wp:docPr id="1" name="Picture 1" descr="http://assets.bwbx.io/images/itLuj2ldTjus/v1/-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ssets.bwbx.io/images/itLuj2ldTjus/v1/-1x-1.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381559" cy="2134331"/>
                    </a:xfrm>
                    <a:prstGeom prst="rect">
                      <a:avLst/>
                    </a:prstGeom>
                    <a:noFill/>
                    <a:ln>
                      <a:noFill/>
                    </a:ln>
                  </pic:spPr>
                </pic:pic>
              </a:graphicData>
            </a:graphic>
          </wp:inline>
        </w:drawing>
      </w:r>
    </w:p>
    <w:p w:rsidR="00EE6120" w:rsidRPr="00EE6120" w:rsidRDefault="00EE6120" w:rsidP="00EE6120">
      <w:pPr>
        <w:shd w:val="clear" w:color="auto" w:fill="FFFFFF"/>
        <w:spacing w:before="60" w:after="18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 </w:t>
      </w:r>
    </w:p>
    <w:p w:rsidR="00EE6120" w:rsidRPr="00EE6120" w:rsidRDefault="00EE6120" w:rsidP="00EE6120">
      <w:pPr>
        <w:shd w:val="clear" w:color="auto" w:fill="FFFFFF"/>
        <w:spacing w:before="60" w:line="260" w:lineRule="atLeast"/>
        <w:rPr>
          <w:rFonts w:ascii="Verdana" w:eastAsia="Times New Roman" w:hAnsi="Verdana" w:cs="Times New Roman"/>
          <w:color w:val="000000"/>
          <w:sz w:val="20"/>
          <w:szCs w:val="20"/>
        </w:rPr>
      </w:pPr>
      <w:r w:rsidRPr="00EE6120">
        <w:rPr>
          <w:rFonts w:ascii="Verdana" w:eastAsia="Times New Roman" w:hAnsi="Verdana" w:cs="Times New Roman"/>
          <w:color w:val="000000"/>
          <w:sz w:val="20"/>
          <w:szCs w:val="20"/>
        </w:rPr>
        <w:t> </w:t>
      </w:r>
    </w:p>
    <w:p w:rsidR="00EE6120" w:rsidRDefault="00EE6120"/>
    <w:sectPr w:rsidR="00EE6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F1F3D"/>
    <w:multiLevelType w:val="hybridMultilevel"/>
    <w:tmpl w:val="1960C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F66663"/>
    <w:multiLevelType w:val="multilevel"/>
    <w:tmpl w:val="7A50E2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7704D"/>
    <w:multiLevelType w:val="multilevel"/>
    <w:tmpl w:val="0D0C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120"/>
    <w:rsid w:val="000D45C1"/>
    <w:rsid w:val="00247B93"/>
    <w:rsid w:val="008577AE"/>
    <w:rsid w:val="00D62C06"/>
    <w:rsid w:val="00D92D9D"/>
    <w:rsid w:val="00EE6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BC823-977A-4091-9812-99DCB160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E61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12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E6120"/>
    <w:rPr>
      <w:color w:val="0000FF"/>
      <w:u w:val="single"/>
    </w:rPr>
  </w:style>
  <w:style w:type="character" w:customStyle="1" w:styleId="submitted">
    <w:name w:val="submitted"/>
    <w:basedOn w:val="DefaultParagraphFont"/>
    <w:rsid w:val="00EE6120"/>
  </w:style>
  <w:style w:type="character" w:customStyle="1" w:styleId="apple-converted-space">
    <w:name w:val="apple-converted-space"/>
    <w:basedOn w:val="DefaultParagraphFont"/>
    <w:rsid w:val="00EE6120"/>
  </w:style>
  <w:style w:type="character" w:customStyle="1" w:styleId="taxonomy">
    <w:name w:val="taxonomy"/>
    <w:basedOn w:val="DefaultParagraphFont"/>
    <w:rsid w:val="00EE6120"/>
  </w:style>
  <w:style w:type="character" w:customStyle="1" w:styleId="in-widget">
    <w:name w:val="in-widget"/>
    <w:basedOn w:val="DefaultParagraphFont"/>
    <w:rsid w:val="00EE6120"/>
  </w:style>
  <w:style w:type="character" w:customStyle="1" w:styleId="in-right">
    <w:name w:val="in-right"/>
    <w:basedOn w:val="DefaultParagraphFont"/>
    <w:rsid w:val="00EE6120"/>
  </w:style>
  <w:style w:type="paragraph" w:styleId="NormalWeb">
    <w:name w:val="Normal (Web)"/>
    <w:basedOn w:val="Normal"/>
    <w:uiPriority w:val="99"/>
    <w:semiHidden/>
    <w:unhideWhenUsed/>
    <w:rsid w:val="00EE612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E6120"/>
    <w:rPr>
      <w:i/>
      <w:iCs/>
    </w:rPr>
  </w:style>
  <w:style w:type="character" w:styleId="Strong">
    <w:name w:val="Strong"/>
    <w:basedOn w:val="DefaultParagraphFont"/>
    <w:uiPriority w:val="22"/>
    <w:qFormat/>
    <w:rsid w:val="00EE6120"/>
    <w:rPr>
      <w:b/>
      <w:bCs/>
    </w:rPr>
  </w:style>
  <w:style w:type="paragraph" w:customStyle="1" w:styleId="wp-caption-text">
    <w:name w:val="wp-caption-text"/>
    <w:basedOn w:val="Normal"/>
    <w:rsid w:val="00EE612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62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313400">
      <w:bodyDiv w:val="1"/>
      <w:marLeft w:val="0"/>
      <w:marRight w:val="0"/>
      <w:marTop w:val="0"/>
      <w:marBottom w:val="0"/>
      <w:divBdr>
        <w:top w:val="none" w:sz="0" w:space="0" w:color="auto"/>
        <w:left w:val="none" w:sz="0" w:space="0" w:color="auto"/>
        <w:bottom w:val="none" w:sz="0" w:space="0" w:color="auto"/>
        <w:right w:val="none" w:sz="0" w:space="0" w:color="auto"/>
      </w:divBdr>
      <w:divsChild>
        <w:div w:id="688221470">
          <w:marLeft w:val="-300"/>
          <w:marRight w:val="0"/>
          <w:marTop w:val="0"/>
          <w:marBottom w:val="0"/>
          <w:divBdr>
            <w:top w:val="none" w:sz="0" w:space="0" w:color="auto"/>
            <w:left w:val="none" w:sz="0" w:space="0" w:color="auto"/>
            <w:bottom w:val="none" w:sz="0" w:space="0" w:color="auto"/>
            <w:right w:val="none" w:sz="0" w:space="0" w:color="auto"/>
          </w:divBdr>
          <w:divsChild>
            <w:div w:id="245235753">
              <w:marLeft w:val="0"/>
              <w:marRight w:val="0"/>
              <w:marTop w:val="0"/>
              <w:marBottom w:val="0"/>
              <w:divBdr>
                <w:top w:val="none" w:sz="0" w:space="0" w:color="auto"/>
                <w:left w:val="none" w:sz="0" w:space="0" w:color="auto"/>
                <w:bottom w:val="none" w:sz="0" w:space="0" w:color="auto"/>
                <w:right w:val="none" w:sz="0" w:space="0" w:color="auto"/>
              </w:divBdr>
            </w:div>
          </w:divsChild>
        </w:div>
        <w:div w:id="1431316623">
          <w:marLeft w:val="-480"/>
          <w:marRight w:val="0"/>
          <w:marTop w:val="0"/>
          <w:marBottom w:val="0"/>
          <w:divBdr>
            <w:top w:val="none" w:sz="0" w:space="0" w:color="auto"/>
            <w:left w:val="none" w:sz="0" w:space="0" w:color="auto"/>
            <w:bottom w:val="none" w:sz="0" w:space="0" w:color="auto"/>
            <w:right w:val="none" w:sz="0" w:space="0" w:color="auto"/>
          </w:divBdr>
          <w:divsChild>
            <w:div w:id="34938327">
              <w:marLeft w:val="375"/>
              <w:marRight w:val="0"/>
              <w:marTop w:val="0"/>
              <w:marBottom w:val="0"/>
              <w:divBdr>
                <w:top w:val="none" w:sz="0" w:space="0" w:color="auto"/>
                <w:left w:val="none" w:sz="0" w:space="0" w:color="auto"/>
                <w:bottom w:val="none" w:sz="0" w:space="0" w:color="auto"/>
                <w:right w:val="none" w:sz="0" w:space="0" w:color="auto"/>
              </w:divBdr>
              <w:divsChild>
                <w:div w:id="611204050">
                  <w:marLeft w:val="0"/>
                  <w:marRight w:val="0"/>
                  <w:marTop w:val="0"/>
                  <w:marBottom w:val="0"/>
                  <w:divBdr>
                    <w:top w:val="none" w:sz="0" w:space="0" w:color="auto"/>
                    <w:left w:val="none" w:sz="0" w:space="0" w:color="auto"/>
                    <w:bottom w:val="none" w:sz="0" w:space="0" w:color="auto"/>
                    <w:right w:val="none" w:sz="0" w:space="0" w:color="auto"/>
                  </w:divBdr>
                  <w:divsChild>
                    <w:div w:id="124048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058711">
      <w:bodyDiv w:val="1"/>
      <w:marLeft w:val="0"/>
      <w:marRight w:val="0"/>
      <w:marTop w:val="0"/>
      <w:marBottom w:val="0"/>
      <w:divBdr>
        <w:top w:val="none" w:sz="0" w:space="0" w:color="auto"/>
        <w:left w:val="none" w:sz="0" w:space="0" w:color="auto"/>
        <w:bottom w:val="none" w:sz="0" w:space="0" w:color="auto"/>
        <w:right w:val="none" w:sz="0" w:space="0" w:color="auto"/>
      </w:divBdr>
      <w:divsChild>
        <w:div w:id="611128244">
          <w:marLeft w:val="0"/>
          <w:marRight w:val="0"/>
          <w:marTop w:val="120"/>
          <w:marBottom w:val="240"/>
          <w:divBdr>
            <w:top w:val="none" w:sz="0" w:space="0" w:color="auto"/>
            <w:left w:val="none" w:sz="0" w:space="0" w:color="auto"/>
            <w:bottom w:val="none" w:sz="0" w:space="0" w:color="auto"/>
            <w:right w:val="none" w:sz="0" w:space="0" w:color="auto"/>
          </w:divBdr>
          <w:divsChild>
            <w:div w:id="1657802885">
              <w:marLeft w:val="0"/>
              <w:marRight w:val="360"/>
              <w:marTop w:val="0"/>
              <w:marBottom w:val="0"/>
              <w:divBdr>
                <w:top w:val="none" w:sz="0" w:space="0" w:color="auto"/>
                <w:left w:val="none" w:sz="0" w:space="0" w:color="auto"/>
                <w:bottom w:val="none" w:sz="0" w:space="0" w:color="auto"/>
                <w:right w:val="none" w:sz="0" w:space="0" w:color="auto"/>
              </w:divBdr>
            </w:div>
            <w:div w:id="1944340187">
              <w:marLeft w:val="0"/>
              <w:marRight w:val="0"/>
              <w:marTop w:val="0"/>
              <w:marBottom w:val="0"/>
              <w:divBdr>
                <w:top w:val="none" w:sz="0" w:space="0" w:color="auto"/>
                <w:left w:val="none" w:sz="0" w:space="0" w:color="auto"/>
                <w:bottom w:val="none" w:sz="0" w:space="0" w:color="auto"/>
                <w:right w:val="none" w:sz="0" w:space="0" w:color="auto"/>
              </w:divBdr>
              <w:divsChild>
                <w:div w:id="1007899547">
                  <w:marLeft w:val="0"/>
                  <w:marRight w:val="150"/>
                  <w:marTop w:val="0"/>
                  <w:marBottom w:val="0"/>
                  <w:divBdr>
                    <w:top w:val="none" w:sz="0" w:space="0" w:color="auto"/>
                    <w:left w:val="none" w:sz="0" w:space="0" w:color="auto"/>
                    <w:bottom w:val="none" w:sz="0" w:space="0" w:color="auto"/>
                    <w:right w:val="none" w:sz="0" w:space="0" w:color="auto"/>
                  </w:divBdr>
                </w:div>
              </w:divsChild>
            </w:div>
            <w:div w:id="1254584335">
              <w:marLeft w:val="0"/>
              <w:marRight w:val="0"/>
              <w:marTop w:val="0"/>
              <w:marBottom w:val="0"/>
              <w:divBdr>
                <w:top w:val="none" w:sz="0" w:space="0" w:color="auto"/>
                <w:left w:val="none" w:sz="0" w:space="0" w:color="auto"/>
                <w:bottom w:val="none" w:sz="0" w:space="0" w:color="auto"/>
                <w:right w:val="none" w:sz="0" w:space="0" w:color="auto"/>
              </w:divBdr>
            </w:div>
            <w:div w:id="2136485385">
              <w:marLeft w:val="0"/>
              <w:marRight w:val="0"/>
              <w:marTop w:val="120"/>
              <w:marBottom w:val="120"/>
              <w:divBdr>
                <w:top w:val="none" w:sz="0" w:space="0" w:color="auto"/>
                <w:left w:val="none" w:sz="0" w:space="0" w:color="auto"/>
                <w:bottom w:val="none" w:sz="0" w:space="0" w:color="auto"/>
                <w:right w:val="none" w:sz="0" w:space="0" w:color="auto"/>
              </w:divBdr>
              <w:divsChild>
                <w:div w:id="723140244">
                  <w:marLeft w:val="0"/>
                  <w:marRight w:val="0"/>
                  <w:marTop w:val="0"/>
                  <w:marBottom w:val="0"/>
                  <w:divBdr>
                    <w:top w:val="none" w:sz="0" w:space="0" w:color="auto"/>
                    <w:left w:val="none" w:sz="0" w:space="0" w:color="auto"/>
                    <w:bottom w:val="none" w:sz="0" w:space="0" w:color="auto"/>
                    <w:right w:val="none" w:sz="0" w:space="0" w:color="auto"/>
                  </w:divBdr>
                </w:div>
                <w:div w:id="1359506333">
                  <w:marLeft w:val="0"/>
                  <w:marRight w:val="0"/>
                  <w:marTop w:val="0"/>
                  <w:marBottom w:val="0"/>
                  <w:divBdr>
                    <w:top w:val="none" w:sz="0" w:space="0" w:color="auto"/>
                    <w:left w:val="none" w:sz="0" w:space="0" w:color="auto"/>
                    <w:bottom w:val="none" w:sz="0" w:space="0" w:color="auto"/>
                    <w:right w:val="none" w:sz="0" w:space="0" w:color="auto"/>
                  </w:divBdr>
                </w:div>
                <w:div w:id="21073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erohedge.com/taxonomy_vtn/term/10414" TargetMode="External"/><Relationship Id="rId18" Type="http://schemas.openxmlformats.org/officeDocument/2006/relationships/hyperlink" Target="http://www.zerohedge.com/taxonomy_vtn/term/10861" TargetMode="External"/><Relationship Id="rId26" Type="http://schemas.openxmlformats.org/officeDocument/2006/relationships/hyperlink" Target="http://www.zerohedge.com/taxonomy_vtn/term/8503" TargetMode="External"/><Relationship Id="rId39" Type="http://schemas.openxmlformats.org/officeDocument/2006/relationships/image" Target="media/image3.png"/><Relationship Id="rId21" Type="http://schemas.openxmlformats.org/officeDocument/2006/relationships/hyperlink" Target="http://www.zerohedge.com/taxonomy_vtn/term/10417" TargetMode="External"/><Relationship Id="rId34" Type="http://schemas.openxmlformats.org/officeDocument/2006/relationships/hyperlink" Target="http://www.zerohedge.com/taxonomy_vtn/term/10938" TargetMode="External"/><Relationship Id="rId42" Type="http://schemas.openxmlformats.org/officeDocument/2006/relationships/image" Target="media/image5.png"/><Relationship Id="rId47" Type="http://schemas.openxmlformats.org/officeDocument/2006/relationships/image" Target="media/image8.png"/><Relationship Id="rId50" Type="http://schemas.openxmlformats.org/officeDocument/2006/relationships/fontTable" Target="fontTable.xml"/><Relationship Id="rId7" Type="http://schemas.openxmlformats.org/officeDocument/2006/relationships/hyperlink" Target="http://www.zerohedge.com/users/tyler-durden" TargetMode="External"/><Relationship Id="rId2" Type="http://schemas.openxmlformats.org/officeDocument/2006/relationships/styles" Target="styles.xml"/><Relationship Id="rId16" Type="http://schemas.openxmlformats.org/officeDocument/2006/relationships/hyperlink" Target="http://www.zerohedge.com/taxonomy_vtn/term/11312" TargetMode="External"/><Relationship Id="rId29" Type="http://schemas.openxmlformats.org/officeDocument/2006/relationships/hyperlink" Target="http://www.zerohedge.com/taxonomy_vtn/term/10967" TargetMode="External"/><Relationship Id="rId11" Type="http://schemas.openxmlformats.org/officeDocument/2006/relationships/hyperlink" Target="http://www.zerohedge.com/taxonomy_vtn/term/304" TargetMode="External"/><Relationship Id="rId24" Type="http://schemas.openxmlformats.org/officeDocument/2006/relationships/hyperlink" Target="http://www.zerohedge.com/taxonomy_vtn/term/9483" TargetMode="External"/><Relationship Id="rId32" Type="http://schemas.openxmlformats.org/officeDocument/2006/relationships/hyperlink" Target="http://www.zerohedge.com/taxonomy_vtn/term/11361" TargetMode="External"/><Relationship Id="rId37" Type="http://schemas.openxmlformats.org/officeDocument/2006/relationships/hyperlink" Target="http://davidstockmanscontracorner.com/sell-the-bonds-sell-the-stocks-sell-the-house-dread-the-fed/" TargetMode="External"/><Relationship Id="rId40" Type="http://schemas.openxmlformats.org/officeDocument/2006/relationships/image" Target="media/image4.png"/><Relationship Id="rId45" Type="http://schemas.openxmlformats.org/officeDocument/2006/relationships/image" Target="media/image7.png"/><Relationship Id="rId5" Type="http://schemas.openxmlformats.org/officeDocument/2006/relationships/hyperlink" Target="http://www.zerohedge.com/users/tyler-durden" TargetMode="External"/><Relationship Id="rId15" Type="http://schemas.openxmlformats.org/officeDocument/2006/relationships/hyperlink" Target="http://www.zerohedge.com/taxonomy_vtn/term/10626" TargetMode="External"/><Relationship Id="rId23" Type="http://schemas.openxmlformats.org/officeDocument/2006/relationships/hyperlink" Target="http://www.zerohedge.com/taxonomy_vtn/term/10089" TargetMode="External"/><Relationship Id="rId28" Type="http://schemas.openxmlformats.org/officeDocument/2006/relationships/hyperlink" Target="http://www.zerohedge.com/taxonomy_vtn/term/118" TargetMode="External"/><Relationship Id="rId36" Type="http://schemas.openxmlformats.org/officeDocument/2006/relationships/hyperlink" Target="javascript:void(0);" TargetMode="External"/><Relationship Id="rId49" Type="http://schemas.openxmlformats.org/officeDocument/2006/relationships/image" Target="media/image10.png"/><Relationship Id="rId10" Type="http://schemas.openxmlformats.org/officeDocument/2006/relationships/hyperlink" Target="http://www.zerohedge.com/taxonomy_vtn/term/122" TargetMode="External"/><Relationship Id="rId19" Type="http://schemas.openxmlformats.org/officeDocument/2006/relationships/hyperlink" Target="http://www.zerohedge.com/taxonomy_vtn/term/9127" TargetMode="External"/><Relationship Id="rId31" Type="http://schemas.openxmlformats.org/officeDocument/2006/relationships/hyperlink" Target="http://www.zerohedge.com/taxonomy_vtn/term/12218" TargetMode="External"/><Relationship Id="rId44" Type="http://schemas.openxmlformats.org/officeDocument/2006/relationships/hyperlink" Target="http://davidstockmanscontracorner.com/wp-content/uploads/2015/12/levdebt-480x3261-e1450298526710.png" TargetMode="External"/><Relationship Id="rId4" Type="http://schemas.openxmlformats.org/officeDocument/2006/relationships/webSettings" Target="webSettings.xml"/><Relationship Id="rId9" Type="http://schemas.openxmlformats.org/officeDocument/2006/relationships/hyperlink" Target="http://www.zerohedge.com/taxonomy_vtn/term/3" TargetMode="External"/><Relationship Id="rId14" Type="http://schemas.openxmlformats.org/officeDocument/2006/relationships/hyperlink" Target="http://www.zerohedge.com/taxonomy_vtn/term/10130" TargetMode="External"/><Relationship Id="rId22" Type="http://schemas.openxmlformats.org/officeDocument/2006/relationships/hyperlink" Target="http://www.zerohedge.com/taxonomy_vtn/term/10655" TargetMode="External"/><Relationship Id="rId27" Type="http://schemas.openxmlformats.org/officeDocument/2006/relationships/hyperlink" Target="http://www.zerohedge.com/taxonomy_vtn/term/10014" TargetMode="External"/><Relationship Id="rId30" Type="http://schemas.openxmlformats.org/officeDocument/2006/relationships/hyperlink" Target="http://www.zerohedge.com/taxonomy_vtn/term/12147" TargetMode="External"/><Relationship Id="rId35" Type="http://schemas.openxmlformats.org/officeDocument/2006/relationships/hyperlink" Target="http://www.zerohedge.com/taxonomy_vtn/term/9256" TargetMode="External"/><Relationship Id="rId43" Type="http://schemas.openxmlformats.org/officeDocument/2006/relationships/image" Target="media/image6.png"/><Relationship Id="rId48" Type="http://schemas.openxmlformats.org/officeDocument/2006/relationships/image" Target="media/image9.png"/><Relationship Id="rId8" Type="http://schemas.openxmlformats.org/officeDocument/2006/relationships/hyperlink" Target="http://www.zerohedge.com/taxonomy_vtn/term/9992"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zerohedge.com/taxonomy_vtn/term/10937" TargetMode="External"/><Relationship Id="rId17" Type="http://schemas.openxmlformats.org/officeDocument/2006/relationships/hyperlink" Target="http://www.zerohedge.com/taxonomy_vtn/term/10831" TargetMode="External"/><Relationship Id="rId25" Type="http://schemas.openxmlformats.org/officeDocument/2006/relationships/hyperlink" Target="http://www.zerohedge.com/taxonomy_vtn/term/12016" TargetMode="External"/><Relationship Id="rId33" Type="http://schemas.openxmlformats.org/officeDocument/2006/relationships/hyperlink" Target="http://www.zerohedge.com/taxonomy_vtn/term/12414" TargetMode="External"/><Relationship Id="rId38" Type="http://schemas.openxmlformats.org/officeDocument/2006/relationships/image" Target="media/image2.png"/><Relationship Id="rId46" Type="http://schemas.openxmlformats.org/officeDocument/2006/relationships/hyperlink" Target="http://davidstockmanscontracorner.com/wp-content/uploads/2015/12/Capture2.png" TargetMode="External"/><Relationship Id="rId20" Type="http://schemas.openxmlformats.org/officeDocument/2006/relationships/hyperlink" Target="http://www.zerohedge.com/taxonomy_vtn/term/10405" TargetMode="External"/><Relationship Id="rId41" Type="http://schemas.openxmlformats.org/officeDocument/2006/relationships/hyperlink" Target="http://davidstockmanscontracorner.com/wp-content/uploads/2015/02/Untitled16.png" TargetMode="External"/><Relationship Id="rId1" Type="http://schemas.openxmlformats.org/officeDocument/2006/relationships/numbering" Target="numbering.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11</Pages>
  <Words>3021</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1</cp:revision>
  <dcterms:created xsi:type="dcterms:W3CDTF">2015-12-18T22:36:00Z</dcterms:created>
  <dcterms:modified xsi:type="dcterms:W3CDTF">2015-12-19T02:09:00Z</dcterms:modified>
</cp:coreProperties>
</file>